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934B" w14:textId="51AD0EB0" w:rsidR="00E92E1D" w:rsidRPr="00E6212C" w:rsidRDefault="00E92E1D" w:rsidP="00CD0D80">
      <w:pPr>
        <w:pStyle w:val="Pa7"/>
        <w:jc w:val="center"/>
        <w:rPr>
          <w:rFonts w:ascii="Arial" w:hAnsi="Arial" w:cs="Arial"/>
          <w:b/>
          <w:iCs/>
          <w:color w:val="7030A0"/>
        </w:rPr>
      </w:pPr>
      <w:r w:rsidRPr="00E6212C">
        <w:rPr>
          <w:rFonts w:ascii="Arial" w:hAnsi="Arial" w:cs="Arial"/>
          <w:b/>
          <w:iCs/>
          <w:color w:val="7030A0"/>
        </w:rPr>
        <w:t>Your guide to The Regional Outcomes and Innovations Fund (ROIF)</w:t>
      </w:r>
    </w:p>
    <w:p w14:paraId="0ED39E5E" w14:textId="77777777" w:rsidR="00592751" w:rsidRDefault="00592751" w:rsidP="00CD0D80">
      <w:pPr>
        <w:pStyle w:val="Pa7"/>
        <w:rPr>
          <w:rFonts w:ascii="Arial" w:hAnsi="Arial" w:cs="Arial"/>
          <w:iCs/>
          <w:color w:val="000000"/>
          <w:sz w:val="22"/>
          <w:szCs w:val="22"/>
        </w:rPr>
      </w:pPr>
    </w:p>
    <w:p w14:paraId="26035D9A" w14:textId="06A39FD0" w:rsidR="00CD0D80" w:rsidRPr="00CD0D80" w:rsidRDefault="00CD0D80" w:rsidP="00CD0D80">
      <w:pPr>
        <w:pStyle w:val="Pa7"/>
        <w:rPr>
          <w:rFonts w:ascii="Arial" w:hAnsi="Arial" w:cs="Arial"/>
          <w:b/>
          <w:iCs/>
          <w:color w:val="7030A0"/>
          <w:sz w:val="22"/>
          <w:szCs w:val="22"/>
        </w:rPr>
      </w:pPr>
      <w:r w:rsidRPr="00CD0D80">
        <w:rPr>
          <w:rFonts w:ascii="Arial" w:hAnsi="Arial" w:cs="Arial"/>
          <w:b/>
          <w:iCs/>
          <w:color w:val="7030A0"/>
          <w:sz w:val="22"/>
          <w:szCs w:val="22"/>
        </w:rPr>
        <w:t>What is the ROIF?</w:t>
      </w:r>
    </w:p>
    <w:p w14:paraId="21785E4E" w14:textId="206C2D29" w:rsidR="00CD0D80" w:rsidRDefault="000C113A" w:rsidP="00CD0D80">
      <w:pPr>
        <w:pStyle w:val="Pa7"/>
        <w:rPr>
          <w:rFonts w:ascii="Arial" w:hAnsi="Arial" w:cs="Arial"/>
          <w:iCs/>
          <w:color w:val="000000"/>
          <w:sz w:val="22"/>
          <w:szCs w:val="22"/>
        </w:rPr>
      </w:pPr>
      <w:r w:rsidRPr="00E92E1D">
        <w:rPr>
          <w:rFonts w:ascii="Arial" w:hAnsi="Arial" w:cs="Arial"/>
          <w:iCs/>
          <w:color w:val="000000"/>
          <w:sz w:val="22"/>
          <w:szCs w:val="22"/>
        </w:rPr>
        <w:t>The Regional Outcomes and Innovations Fund (ROIF) is a small pot of money</w:t>
      </w:r>
      <w:r w:rsidR="00D37015">
        <w:rPr>
          <w:rFonts w:ascii="Arial" w:hAnsi="Arial" w:cs="Arial"/>
          <w:iCs/>
          <w:color w:val="000000"/>
          <w:sz w:val="22"/>
          <w:szCs w:val="22"/>
        </w:rPr>
        <w:t xml:space="preserve"> </w:t>
      </w:r>
      <w:r w:rsidRPr="00E92E1D">
        <w:rPr>
          <w:rFonts w:ascii="Arial" w:hAnsi="Arial" w:cs="Arial"/>
          <w:iCs/>
          <w:color w:val="000000"/>
          <w:sz w:val="22"/>
          <w:szCs w:val="22"/>
        </w:rPr>
        <w:t xml:space="preserve">available to regions, intended to </w:t>
      </w:r>
      <w:r w:rsidR="00381B81">
        <w:rPr>
          <w:rFonts w:ascii="Arial" w:hAnsi="Arial" w:cs="Arial"/>
          <w:iCs/>
          <w:color w:val="000000"/>
          <w:sz w:val="22"/>
          <w:szCs w:val="22"/>
        </w:rPr>
        <w:t>support</w:t>
      </w:r>
      <w:r w:rsidRPr="00E92E1D">
        <w:rPr>
          <w:rFonts w:ascii="Arial" w:hAnsi="Arial" w:cs="Arial"/>
          <w:iCs/>
          <w:color w:val="000000"/>
          <w:sz w:val="22"/>
          <w:szCs w:val="22"/>
        </w:rPr>
        <w:t xml:space="preserve"> investment in wider services (for example by entering co-funding arrangements with PCCs or other commissioners) that may help reduce re-offending, </w:t>
      </w:r>
      <w:r w:rsidR="00846F21">
        <w:rPr>
          <w:rFonts w:ascii="Arial" w:hAnsi="Arial" w:cs="Arial"/>
          <w:iCs/>
          <w:color w:val="000000"/>
          <w:sz w:val="22"/>
          <w:szCs w:val="22"/>
        </w:rPr>
        <w:t>and provide the regions with a new ability to address needs in ways that are not confined to the</w:t>
      </w:r>
      <w:r w:rsidRPr="00E92E1D">
        <w:rPr>
          <w:rFonts w:ascii="Arial" w:hAnsi="Arial" w:cs="Arial"/>
          <w:iCs/>
          <w:color w:val="000000"/>
          <w:sz w:val="22"/>
          <w:szCs w:val="22"/>
        </w:rPr>
        <w:t xml:space="preserve"> direct</w:t>
      </w:r>
      <w:r w:rsidR="00846F21">
        <w:rPr>
          <w:rFonts w:ascii="Arial" w:hAnsi="Arial" w:cs="Arial"/>
          <w:iCs/>
          <w:color w:val="000000"/>
          <w:sz w:val="22"/>
          <w:szCs w:val="22"/>
        </w:rPr>
        <w:t xml:space="preserve"> </w:t>
      </w:r>
      <w:r w:rsidRPr="00E92E1D">
        <w:rPr>
          <w:rFonts w:ascii="Arial" w:hAnsi="Arial" w:cs="Arial"/>
          <w:iCs/>
          <w:color w:val="000000"/>
          <w:sz w:val="22"/>
          <w:szCs w:val="22"/>
        </w:rPr>
        <w:t xml:space="preserve">delivering </w:t>
      </w:r>
      <w:r w:rsidR="00846F21">
        <w:rPr>
          <w:rFonts w:ascii="Arial" w:hAnsi="Arial" w:cs="Arial"/>
          <w:iCs/>
          <w:color w:val="000000"/>
          <w:sz w:val="22"/>
          <w:szCs w:val="22"/>
        </w:rPr>
        <w:t xml:space="preserve">of </w:t>
      </w:r>
      <w:r w:rsidRPr="00E92E1D">
        <w:rPr>
          <w:rFonts w:ascii="Arial" w:hAnsi="Arial" w:cs="Arial"/>
          <w:iCs/>
          <w:color w:val="000000"/>
          <w:sz w:val="22"/>
          <w:szCs w:val="22"/>
        </w:rPr>
        <w:t xml:space="preserve">the order of the court. </w:t>
      </w:r>
    </w:p>
    <w:p w14:paraId="7C602681" w14:textId="77777777" w:rsidR="00E6212C" w:rsidRDefault="00E6212C" w:rsidP="00CD0D80">
      <w:pPr>
        <w:pStyle w:val="Pa7"/>
        <w:rPr>
          <w:rFonts w:ascii="Arial" w:hAnsi="Arial" w:cs="Arial"/>
          <w:iCs/>
          <w:color w:val="000000"/>
          <w:sz w:val="22"/>
          <w:szCs w:val="22"/>
        </w:rPr>
      </w:pPr>
    </w:p>
    <w:p w14:paraId="749BC310" w14:textId="4E3697C6" w:rsidR="000C113A" w:rsidRPr="00E15651" w:rsidRDefault="00CD0D80" w:rsidP="00CD0D80">
      <w:pPr>
        <w:pStyle w:val="Pa7"/>
        <w:rPr>
          <w:rFonts w:ascii="Arial" w:hAnsi="Arial" w:cs="Arial"/>
          <w:b/>
          <w:iCs/>
          <w:color w:val="000000"/>
          <w:sz w:val="22"/>
          <w:szCs w:val="22"/>
        </w:rPr>
      </w:pPr>
      <w:r w:rsidRPr="00E15651">
        <w:rPr>
          <w:rFonts w:ascii="Arial" w:hAnsi="Arial" w:cs="Arial"/>
          <w:b/>
          <w:iCs/>
          <w:color w:val="7030A0"/>
          <w:sz w:val="22"/>
          <w:szCs w:val="22"/>
        </w:rPr>
        <w:t>How will this benefit Regional</w:t>
      </w:r>
      <w:r w:rsidR="000C113A" w:rsidRPr="00E15651">
        <w:rPr>
          <w:rFonts w:ascii="Arial" w:hAnsi="Arial" w:cs="Arial"/>
          <w:b/>
          <w:iCs/>
          <w:color w:val="7030A0"/>
          <w:sz w:val="22"/>
          <w:szCs w:val="22"/>
        </w:rPr>
        <w:t xml:space="preserve"> Probation Directors</w:t>
      </w:r>
      <w:r w:rsidRPr="00E15651">
        <w:rPr>
          <w:rFonts w:ascii="Arial" w:hAnsi="Arial" w:cs="Arial"/>
          <w:b/>
          <w:iCs/>
          <w:color w:val="7030A0"/>
          <w:sz w:val="22"/>
          <w:szCs w:val="22"/>
        </w:rPr>
        <w:t>?</w:t>
      </w:r>
      <w:r w:rsidR="000C113A" w:rsidRPr="00E15651">
        <w:rPr>
          <w:rFonts w:ascii="Arial" w:hAnsi="Arial" w:cs="Arial"/>
          <w:b/>
          <w:iCs/>
          <w:color w:val="000000"/>
          <w:sz w:val="22"/>
          <w:szCs w:val="22"/>
        </w:rPr>
        <w:t xml:space="preserve"> </w:t>
      </w:r>
    </w:p>
    <w:p w14:paraId="16D45AFF" w14:textId="0495155E" w:rsidR="000C113A" w:rsidRPr="00E6212C" w:rsidRDefault="00E15651" w:rsidP="00E6212C">
      <w:pPr>
        <w:pStyle w:val="Pa8"/>
        <w:rPr>
          <w:rFonts w:ascii="Arial" w:hAnsi="Arial" w:cs="Arial"/>
          <w:iCs/>
          <w:color w:val="000000"/>
          <w:sz w:val="22"/>
          <w:szCs w:val="22"/>
        </w:rPr>
      </w:pPr>
      <w:r>
        <w:rPr>
          <w:rStyle w:val="A6"/>
          <w:rFonts w:ascii="Arial" w:hAnsi="Arial" w:cs="Arial"/>
          <w:iCs/>
          <w:sz w:val="22"/>
          <w:szCs w:val="22"/>
        </w:rPr>
        <w:t>This will allow R</w:t>
      </w:r>
      <w:r w:rsidR="008422B5">
        <w:rPr>
          <w:rStyle w:val="A6"/>
          <w:rFonts w:ascii="Arial" w:hAnsi="Arial" w:cs="Arial"/>
          <w:iCs/>
          <w:sz w:val="22"/>
          <w:szCs w:val="22"/>
        </w:rPr>
        <w:t>egional Probation Directors (RPDs)</w:t>
      </w:r>
      <w:r>
        <w:rPr>
          <w:rStyle w:val="A6"/>
          <w:rFonts w:ascii="Arial" w:hAnsi="Arial" w:cs="Arial"/>
          <w:iCs/>
          <w:sz w:val="22"/>
          <w:szCs w:val="22"/>
        </w:rPr>
        <w:t xml:space="preserve"> to</w:t>
      </w:r>
      <w:r w:rsidR="000C113A" w:rsidRPr="00E92E1D">
        <w:rPr>
          <w:rStyle w:val="A6"/>
          <w:rFonts w:ascii="Arial" w:hAnsi="Arial" w:cs="Arial"/>
          <w:iCs/>
          <w:sz w:val="22"/>
          <w:szCs w:val="22"/>
        </w:rPr>
        <w:t xml:space="preserve"> </w:t>
      </w:r>
      <w:r w:rsidR="000C113A" w:rsidRPr="00E92E1D">
        <w:rPr>
          <w:rFonts w:ascii="Arial" w:hAnsi="Arial" w:cs="Arial"/>
          <w:iCs/>
          <w:color w:val="000000"/>
          <w:sz w:val="22"/>
          <w:szCs w:val="22"/>
        </w:rPr>
        <w:t>find new and innovative ways of working with a wider range of service providers</w:t>
      </w:r>
      <w:r w:rsidR="00E6212C">
        <w:rPr>
          <w:rFonts w:ascii="Arial" w:hAnsi="Arial" w:cs="Arial"/>
          <w:iCs/>
          <w:color w:val="000000"/>
          <w:sz w:val="22"/>
          <w:szCs w:val="22"/>
        </w:rPr>
        <w:t xml:space="preserve"> and </w:t>
      </w:r>
      <w:r>
        <w:rPr>
          <w:rStyle w:val="A6"/>
          <w:rFonts w:ascii="Arial" w:hAnsi="Arial" w:cs="Arial"/>
          <w:iCs/>
          <w:sz w:val="22"/>
          <w:szCs w:val="22"/>
        </w:rPr>
        <w:t>will</w:t>
      </w:r>
      <w:r w:rsidR="000C113A" w:rsidRPr="00E92E1D">
        <w:rPr>
          <w:rStyle w:val="A6"/>
          <w:rFonts w:ascii="Arial" w:hAnsi="Arial" w:cs="Arial"/>
          <w:iCs/>
          <w:sz w:val="22"/>
          <w:szCs w:val="22"/>
        </w:rPr>
        <w:t xml:space="preserve"> </w:t>
      </w:r>
      <w:r w:rsidR="000C113A" w:rsidRPr="00E92E1D">
        <w:rPr>
          <w:rFonts w:ascii="Arial" w:hAnsi="Arial" w:cs="Arial"/>
          <w:iCs/>
          <w:color w:val="000000"/>
          <w:sz w:val="22"/>
          <w:szCs w:val="22"/>
        </w:rPr>
        <w:t xml:space="preserve">provide additional and ongoing support beyond sentence, or to those whose sentence provides limited opportunity for intervention but are at risk of </w:t>
      </w:r>
      <w:r w:rsidR="000C113A" w:rsidRPr="00E6212C">
        <w:rPr>
          <w:rFonts w:ascii="Arial" w:hAnsi="Arial" w:cs="Arial"/>
          <w:iCs/>
          <w:color w:val="000000"/>
          <w:sz w:val="22"/>
          <w:szCs w:val="22"/>
        </w:rPr>
        <w:t>reoffending</w:t>
      </w:r>
      <w:r w:rsidR="00E6212C" w:rsidRPr="00E6212C">
        <w:rPr>
          <w:rFonts w:ascii="Arial" w:hAnsi="Arial" w:cs="Arial"/>
          <w:iCs/>
          <w:color w:val="000000"/>
          <w:sz w:val="22"/>
          <w:szCs w:val="22"/>
        </w:rPr>
        <w:t xml:space="preserve">.  The ROIF will also help </w:t>
      </w:r>
      <w:r w:rsidR="00E6212C">
        <w:rPr>
          <w:rFonts w:ascii="Arial" w:hAnsi="Arial" w:cs="Arial"/>
          <w:iCs/>
          <w:color w:val="000000"/>
          <w:sz w:val="22"/>
          <w:szCs w:val="22"/>
        </w:rPr>
        <w:t>RPDs</w:t>
      </w:r>
      <w:r w:rsidR="00E6212C" w:rsidRPr="00E6212C">
        <w:rPr>
          <w:rFonts w:ascii="Arial" w:hAnsi="Arial" w:cs="Arial"/>
          <w:iCs/>
          <w:color w:val="000000"/>
          <w:sz w:val="22"/>
          <w:szCs w:val="22"/>
        </w:rPr>
        <w:t xml:space="preserve"> to </w:t>
      </w:r>
      <w:r w:rsidR="000C113A" w:rsidRPr="00E6212C">
        <w:rPr>
          <w:rFonts w:ascii="Arial" w:hAnsi="Arial" w:cs="Arial"/>
          <w:iCs/>
          <w:color w:val="000000"/>
          <w:sz w:val="22"/>
          <w:szCs w:val="22"/>
        </w:rPr>
        <w:t>find efficiencies that come from being able to invest in joint initiatives and shared funding arrangements and access additional investment</w:t>
      </w:r>
      <w:r w:rsidR="00E6212C" w:rsidRPr="00E6212C">
        <w:rPr>
          <w:rFonts w:ascii="Arial" w:hAnsi="Arial" w:cs="Arial"/>
          <w:iCs/>
          <w:color w:val="000000"/>
          <w:sz w:val="22"/>
          <w:szCs w:val="22"/>
        </w:rPr>
        <w:t xml:space="preserve">.  This will allow </w:t>
      </w:r>
      <w:r w:rsidR="00AB6A44">
        <w:rPr>
          <w:rFonts w:ascii="Arial" w:hAnsi="Arial" w:cs="Arial"/>
          <w:iCs/>
          <w:color w:val="000000"/>
          <w:sz w:val="22"/>
          <w:szCs w:val="22"/>
        </w:rPr>
        <w:t>RPDs</w:t>
      </w:r>
      <w:r w:rsidR="00E6212C" w:rsidRPr="00E6212C">
        <w:rPr>
          <w:rFonts w:ascii="Arial" w:hAnsi="Arial" w:cs="Arial"/>
          <w:iCs/>
          <w:color w:val="000000"/>
          <w:sz w:val="22"/>
          <w:szCs w:val="22"/>
        </w:rPr>
        <w:t xml:space="preserve"> to </w:t>
      </w:r>
      <w:r w:rsidR="000C113A" w:rsidRPr="00E6212C">
        <w:rPr>
          <w:rFonts w:ascii="Arial" w:hAnsi="Arial" w:cs="Arial"/>
          <w:iCs/>
          <w:color w:val="000000"/>
          <w:sz w:val="22"/>
          <w:szCs w:val="22"/>
        </w:rPr>
        <w:t>make services available to offenders based on need rather than dependent on sentence requirement</w:t>
      </w:r>
      <w:r w:rsidR="00E6212C" w:rsidRPr="00E6212C">
        <w:rPr>
          <w:rFonts w:ascii="Arial" w:hAnsi="Arial" w:cs="Arial"/>
          <w:iCs/>
          <w:color w:val="000000"/>
          <w:sz w:val="22"/>
          <w:szCs w:val="22"/>
        </w:rPr>
        <w:t>.</w:t>
      </w:r>
      <w:r w:rsidR="00846F21">
        <w:rPr>
          <w:rFonts w:ascii="Arial" w:hAnsi="Arial" w:cs="Arial"/>
          <w:iCs/>
          <w:color w:val="000000"/>
          <w:sz w:val="22"/>
          <w:szCs w:val="22"/>
        </w:rPr>
        <w:t xml:space="preserve"> It will allow them to form new relationships with new providers of services and funders that will allow the RPDs to champion provision for those at risk of offending.</w:t>
      </w:r>
    </w:p>
    <w:p w14:paraId="03EDACB9" w14:textId="77777777" w:rsidR="002F505C" w:rsidRDefault="002F505C" w:rsidP="000C113A">
      <w:pPr>
        <w:rPr>
          <w:rFonts w:ascii="Arial" w:hAnsi="Arial" w:cs="Arial"/>
          <w:iCs/>
          <w:color w:val="000000"/>
        </w:rPr>
      </w:pPr>
    </w:p>
    <w:p w14:paraId="3081A3D3" w14:textId="4119A7AA" w:rsidR="00E6212C" w:rsidRPr="002F505C" w:rsidRDefault="002F505C" w:rsidP="000C113A">
      <w:pPr>
        <w:rPr>
          <w:rFonts w:ascii="Arial" w:hAnsi="Arial" w:cs="Arial"/>
          <w:b/>
          <w:bCs/>
          <w:iCs/>
          <w:color w:val="7030A0"/>
        </w:rPr>
      </w:pPr>
      <w:r w:rsidRPr="002F505C">
        <w:rPr>
          <w:rFonts w:ascii="Arial" w:hAnsi="Arial" w:cs="Arial"/>
          <w:b/>
          <w:bCs/>
          <w:iCs/>
          <w:color w:val="7030A0"/>
        </w:rPr>
        <w:t>How much will my region</w:t>
      </w:r>
      <w:r w:rsidR="001F5CF7">
        <w:rPr>
          <w:rFonts w:ascii="Arial" w:hAnsi="Arial" w:cs="Arial"/>
          <w:b/>
          <w:bCs/>
          <w:iCs/>
          <w:color w:val="7030A0"/>
        </w:rPr>
        <w:t xml:space="preserve"> have to spend</w:t>
      </w:r>
      <w:r w:rsidRPr="002F505C">
        <w:rPr>
          <w:rFonts w:ascii="Arial" w:hAnsi="Arial" w:cs="Arial"/>
          <w:b/>
          <w:bCs/>
          <w:iCs/>
          <w:color w:val="7030A0"/>
        </w:rPr>
        <w:t>?</w:t>
      </w:r>
    </w:p>
    <w:p w14:paraId="600EEF5D" w14:textId="0DF75126" w:rsidR="002F505C" w:rsidRPr="005D0547" w:rsidRDefault="00E72D8E" w:rsidP="000C113A">
      <w:pPr>
        <w:rPr>
          <w:rFonts w:ascii="Arial" w:hAnsi="Arial" w:cs="Arial"/>
          <w:i/>
          <w:color w:val="000000"/>
        </w:rPr>
      </w:pPr>
      <w:r w:rsidRPr="005D0547">
        <w:rPr>
          <w:rFonts w:ascii="Arial" w:hAnsi="Arial" w:cs="Arial"/>
          <w:i/>
          <w:color w:val="000000"/>
        </w:rPr>
        <w:t>Please see Annex A below.</w:t>
      </w:r>
    </w:p>
    <w:p w14:paraId="3917DA3D" w14:textId="631C3458" w:rsidR="009D4F03" w:rsidRDefault="009D4F03" w:rsidP="000C113A">
      <w:pPr>
        <w:rPr>
          <w:rFonts w:ascii="Arial" w:hAnsi="Arial" w:cs="Arial"/>
          <w:iCs/>
          <w:color w:val="000000"/>
        </w:rPr>
      </w:pPr>
    </w:p>
    <w:p w14:paraId="4C10FA2C" w14:textId="46651D31" w:rsidR="009D4F03" w:rsidRPr="009D4F03" w:rsidRDefault="009D4F03" w:rsidP="000C113A">
      <w:pPr>
        <w:rPr>
          <w:rFonts w:ascii="Arial" w:hAnsi="Arial" w:cs="Arial"/>
          <w:b/>
          <w:bCs/>
          <w:iCs/>
          <w:color w:val="7030A0"/>
        </w:rPr>
      </w:pPr>
      <w:r w:rsidRPr="009D4F03">
        <w:rPr>
          <w:rFonts w:ascii="Arial" w:hAnsi="Arial" w:cs="Arial"/>
          <w:b/>
          <w:bCs/>
          <w:iCs/>
          <w:color w:val="7030A0"/>
        </w:rPr>
        <w:t>Where ROIF complements other interventions</w:t>
      </w:r>
    </w:p>
    <w:p w14:paraId="32104A38" w14:textId="4C91A5FC" w:rsidR="002F505C" w:rsidRPr="000A05E3" w:rsidRDefault="006462E1" w:rsidP="000C113A">
      <w:pPr>
        <w:rPr>
          <w:rFonts w:ascii="Arial" w:hAnsi="Arial" w:cs="Arial"/>
          <w:iCs/>
          <w:color w:val="000000"/>
        </w:rPr>
      </w:pPr>
      <w:r w:rsidRPr="000A05E3">
        <w:rPr>
          <w:rFonts w:ascii="Arial" w:eastAsia="Times New Roman" w:hAnsi="Arial" w:cs="Arial"/>
        </w:rPr>
        <w:t>The ROIF is designed to be used for non-enforceable interventions</w:t>
      </w:r>
      <w:r w:rsidR="00306F6C">
        <w:rPr>
          <w:rFonts w:ascii="Arial" w:eastAsia="Times New Roman" w:hAnsi="Arial" w:cs="Arial"/>
        </w:rPr>
        <w:t>;</w:t>
      </w:r>
      <w:r w:rsidRPr="000A05E3">
        <w:rPr>
          <w:rFonts w:ascii="Arial" w:eastAsia="Times New Roman" w:hAnsi="Arial" w:cs="Arial"/>
        </w:rPr>
        <w:t xml:space="preserve"> </w:t>
      </w:r>
      <w:r w:rsidR="00662369">
        <w:rPr>
          <w:rFonts w:ascii="Arial" w:eastAsia="Times New Roman" w:hAnsi="Arial" w:cs="Arial"/>
        </w:rPr>
        <w:t>these may compliment</w:t>
      </w:r>
      <w:r w:rsidR="000A05E3" w:rsidRPr="000A05E3">
        <w:rPr>
          <w:rFonts w:ascii="Arial" w:eastAsia="Times New Roman" w:hAnsi="Arial" w:cs="Arial"/>
        </w:rPr>
        <w:t xml:space="preserve"> other </w:t>
      </w:r>
      <w:r w:rsidRPr="000A05E3">
        <w:rPr>
          <w:rFonts w:ascii="Arial" w:eastAsia="Times New Roman" w:hAnsi="Arial" w:cs="Arial"/>
        </w:rPr>
        <w:t>interventions</w:t>
      </w:r>
      <w:r w:rsidR="005A566F">
        <w:rPr>
          <w:rFonts w:ascii="Arial" w:eastAsia="Times New Roman" w:hAnsi="Arial" w:cs="Arial"/>
        </w:rPr>
        <w:t xml:space="preserve"> (</w:t>
      </w:r>
      <w:proofErr w:type="spellStart"/>
      <w:r w:rsidR="00440A37">
        <w:rPr>
          <w:rFonts w:ascii="Arial" w:eastAsia="Times New Roman" w:hAnsi="Arial" w:cs="Arial"/>
        </w:rPr>
        <w:t>ie</w:t>
      </w:r>
      <w:proofErr w:type="spellEnd"/>
      <w:r w:rsidR="00440A37">
        <w:rPr>
          <w:rFonts w:ascii="Arial" w:eastAsia="Times New Roman" w:hAnsi="Arial" w:cs="Arial"/>
        </w:rPr>
        <w:t xml:space="preserve"> </w:t>
      </w:r>
      <w:r w:rsidR="005A566F">
        <w:rPr>
          <w:rFonts w:ascii="Arial" w:eastAsia="Times New Roman" w:hAnsi="Arial" w:cs="Arial"/>
        </w:rPr>
        <w:t>direct</w:t>
      </w:r>
      <w:r w:rsidR="00440A37">
        <w:rPr>
          <w:rFonts w:ascii="Arial" w:eastAsia="Times New Roman" w:hAnsi="Arial" w:cs="Arial"/>
        </w:rPr>
        <w:t xml:space="preserve">, in-house or </w:t>
      </w:r>
      <w:r w:rsidR="005A566F">
        <w:rPr>
          <w:rFonts w:ascii="Arial" w:eastAsia="Times New Roman" w:hAnsi="Arial" w:cs="Arial"/>
        </w:rPr>
        <w:t>commissioned rehabilitative services</w:t>
      </w:r>
      <w:r w:rsidR="00440A37">
        <w:rPr>
          <w:rFonts w:ascii="Arial" w:eastAsia="Times New Roman" w:hAnsi="Arial" w:cs="Arial"/>
        </w:rPr>
        <w:t>)</w:t>
      </w:r>
      <w:r w:rsidR="00662369">
        <w:rPr>
          <w:rFonts w:ascii="Arial" w:eastAsia="Times New Roman" w:hAnsi="Arial" w:cs="Arial"/>
        </w:rPr>
        <w:t xml:space="preserve"> that are delivered as part of a sentence</w:t>
      </w:r>
      <w:r w:rsidR="00440A37">
        <w:rPr>
          <w:rFonts w:ascii="Arial" w:eastAsia="Times New Roman" w:hAnsi="Arial" w:cs="Arial"/>
        </w:rPr>
        <w:t>.</w:t>
      </w:r>
    </w:p>
    <w:p w14:paraId="5F73FE5C" w14:textId="77777777" w:rsidR="006462E1" w:rsidRPr="000A05E3" w:rsidRDefault="006462E1" w:rsidP="000C113A">
      <w:pPr>
        <w:rPr>
          <w:rFonts w:ascii="Arial" w:hAnsi="Arial" w:cs="Arial"/>
          <w:iCs/>
          <w:color w:val="000000"/>
        </w:rPr>
      </w:pPr>
    </w:p>
    <w:p w14:paraId="1811AED1" w14:textId="14CFF512" w:rsidR="00F027A9" w:rsidRPr="00F027A9" w:rsidRDefault="00221D00" w:rsidP="000C113A">
      <w:pPr>
        <w:rPr>
          <w:rFonts w:ascii="Arial" w:hAnsi="Arial" w:cs="Arial"/>
          <w:b/>
          <w:iCs/>
          <w:color w:val="7030A0"/>
        </w:rPr>
      </w:pPr>
      <w:r>
        <w:rPr>
          <w:rFonts w:ascii="Arial" w:hAnsi="Arial" w:cs="Arial"/>
          <w:b/>
          <w:iCs/>
          <w:color w:val="7030A0"/>
        </w:rPr>
        <w:t>Gives you</w:t>
      </w:r>
      <w:r w:rsidR="000D1A75">
        <w:rPr>
          <w:rFonts w:ascii="Arial" w:hAnsi="Arial" w:cs="Arial"/>
          <w:b/>
          <w:iCs/>
          <w:color w:val="7030A0"/>
        </w:rPr>
        <w:t>r region</w:t>
      </w:r>
      <w:r>
        <w:rPr>
          <w:rFonts w:ascii="Arial" w:hAnsi="Arial" w:cs="Arial"/>
          <w:b/>
          <w:iCs/>
          <w:color w:val="7030A0"/>
        </w:rPr>
        <w:t xml:space="preserve"> the flexibility</w:t>
      </w:r>
      <w:r w:rsidR="00E6212C">
        <w:rPr>
          <w:rFonts w:ascii="Arial" w:hAnsi="Arial" w:cs="Arial"/>
          <w:b/>
          <w:iCs/>
          <w:color w:val="7030A0"/>
        </w:rPr>
        <w:t xml:space="preserve"> to decide</w:t>
      </w:r>
    </w:p>
    <w:p w14:paraId="6BB3A0FB" w14:textId="58CD9E8F" w:rsidR="000C113A" w:rsidRPr="00E92E1D" w:rsidRDefault="000C113A" w:rsidP="00E6212C">
      <w:pPr>
        <w:rPr>
          <w:rFonts w:ascii="Arial" w:hAnsi="Arial" w:cs="Arial"/>
          <w:iCs/>
          <w:color w:val="000000"/>
        </w:rPr>
      </w:pPr>
      <w:r w:rsidRPr="00E92E1D">
        <w:rPr>
          <w:rFonts w:ascii="Arial" w:hAnsi="Arial" w:cs="Arial"/>
          <w:iCs/>
          <w:color w:val="000000"/>
        </w:rPr>
        <w:t>Each region will have discretion to decide how to invest their fund, using evidence and local intelligence to inform their decisions. They will be able to set the specifications for the services they wish to invest in and the performance indicators that will be applied.</w:t>
      </w:r>
      <w:r w:rsidR="00327C35">
        <w:rPr>
          <w:rFonts w:ascii="Arial" w:hAnsi="Arial" w:cs="Arial"/>
          <w:iCs/>
          <w:color w:val="000000"/>
        </w:rPr>
        <w:t xml:space="preserve">  Some examples of where the funds might be used can be found</w:t>
      </w:r>
      <w:r w:rsidR="00E413AC">
        <w:rPr>
          <w:rFonts w:ascii="Arial" w:hAnsi="Arial" w:cs="Arial"/>
          <w:iCs/>
          <w:color w:val="000000"/>
        </w:rPr>
        <w:t xml:space="preserve"> </w:t>
      </w:r>
      <w:hyperlink r:id="rId8" w:history="1">
        <w:r w:rsidR="00957276">
          <w:rPr>
            <w:rStyle w:val="Hyperlink"/>
            <w:rFonts w:ascii="Arial" w:hAnsi="Arial" w:cs="Arial"/>
            <w:iCs/>
          </w:rPr>
          <w:t>h</w:t>
        </w:r>
        <w:r w:rsidR="00E413AC" w:rsidRPr="00E413AC">
          <w:rPr>
            <w:rStyle w:val="Hyperlink"/>
            <w:rFonts w:ascii="Arial" w:hAnsi="Arial" w:cs="Arial"/>
            <w:iCs/>
          </w:rPr>
          <w:t>ere</w:t>
        </w:r>
      </w:hyperlink>
      <w:r w:rsidR="00E413AC">
        <w:rPr>
          <w:rFonts w:ascii="Arial" w:hAnsi="Arial" w:cs="Arial"/>
          <w:iCs/>
          <w:color w:val="000000"/>
        </w:rPr>
        <w:t>.</w:t>
      </w:r>
      <w:r w:rsidR="00662369">
        <w:rPr>
          <w:rFonts w:ascii="Arial" w:hAnsi="Arial" w:cs="Arial"/>
          <w:iCs/>
          <w:color w:val="000000"/>
        </w:rPr>
        <w:t xml:space="preserve"> The RPD may commission using the Dynamic Framework as the sole or lead funder or in partnership with </w:t>
      </w:r>
      <w:r w:rsidR="00D25415">
        <w:rPr>
          <w:rFonts w:ascii="Arial" w:hAnsi="Arial" w:cs="Arial"/>
          <w:iCs/>
          <w:color w:val="000000"/>
        </w:rPr>
        <w:t>others and</w:t>
      </w:r>
      <w:r w:rsidR="00662369">
        <w:rPr>
          <w:rFonts w:ascii="Arial" w:hAnsi="Arial" w:cs="Arial"/>
          <w:iCs/>
          <w:color w:val="000000"/>
        </w:rPr>
        <w:t xml:space="preserve"> ma</w:t>
      </w:r>
      <w:r w:rsidR="00BA3051">
        <w:rPr>
          <w:rFonts w:ascii="Arial" w:hAnsi="Arial" w:cs="Arial"/>
          <w:iCs/>
          <w:color w:val="000000"/>
        </w:rPr>
        <w:t>ke</w:t>
      </w:r>
      <w:r w:rsidR="00662369">
        <w:rPr>
          <w:rFonts w:ascii="Arial" w:hAnsi="Arial" w:cs="Arial"/>
          <w:iCs/>
          <w:color w:val="000000"/>
        </w:rPr>
        <w:t xml:space="preserve"> use of grants or contracts and support co-commissioner led provisions. </w:t>
      </w:r>
      <w:r w:rsidR="00651767">
        <w:rPr>
          <w:rFonts w:ascii="Arial" w:hAnsi="Arial" w:cs="Arial"/>
          <w:iCs/>
          <w:color w:val="000000"/>
        </w:rPr>
        <w:t>T</w:t>
      </w:r>
      <w:r w:rsidR="00662369">
        <w:rPr>
          <w:rFonts w:ascii="Arial" w:hAnsi="Arial" w:cs="Arial"/>
          <w:iCs/>
          <w:color w:val="000000"/>
        </w:rPr>
        <w:t xml:space="preserve">he aim is to </w:t>
      </w:r>
      <w:bookmarkStart w:id="0" w:name="_GoBack"/>
      <w:bookmarkEnd w:id="0"/>
      <w:r w:rsidR="00662369">
        <w:rPr>
          <w:rFonts w:ascii="Arial" w:hAnsi="Arial" w:cs="Arial"/>
          <w:iCs/>
          <w:color w:val="000000"/>
        </w:rPr>
        <w:t>give the maximum amount of freedom to RPDs in how they chose to use the money</w:t>
      </w:r>
      <w:r w:rsidR="00302108">
        <w:rPr>
          <w:rFonts w:ascii="Arial" w:hAnsi="Arial" w:cs="Arial"/>
          <w:iCs/>
          <w:color w:val="000000"/>
        </w:rPr>
        <w:t>.</w:t>
      </w:r>
    </w:p>
    <w:p w14:paraId="5D5099C5" w14:textId="77777777" w:rsidR="00E6212C" w:rsidRDefault="00E6212C" w:rsidP="00E6212C">
      <w:pPr>
        <w:pStyle w:val="Pa7"/>
        <w:rPr>
          <w:rFonts w:ascii="Arial" w:hAnsi="Arial" w:cs="Arial"/>
          <w:iCs/>
          <w:color w:val="000000"/>
          <w:sz w:val="22"/>
          <w:szCs w:val="22"/>
        </w:rPr>
      </w:pPr>
    </w:p>
    <w:p w14:paraId="5E7F31E0" w14:textId="00366C3E" w:rsidR="00E15651" w:rsidRPr="00E15651" w:rsidRDefault="00AD64CE" w:rsidP="00E6212C">
      <w:pPr>
        <w:pStyle w:val="Pa7"/>
        <w:rPr>
          <w:rFonts w:ascii="Arial" w:hAnsi="Arial" w:cs="Arial"/>
          <w:b/>
          <w:iCs/>
          <w:color w:val="7030A0"/>
          <w:sz w:val="22"/>
          <w:szCs w:val="22"/>
        </w:rPr>
      </w:pPr>
      <w:r>
        <w:rPr>
          <w:rFonts w:ascii="Arial" w:hAnsi="Arial" w:cs="Arial"/>
          <w:b/>
          <w:iCs/>
          <w:color w:val="7030A0"/>
          <w:sz w:val="22"/>
          <w:szCs w:val="22"/>
        </w:rPr>
        <w:t>Oversight</w:t>
      </w:r>
      <w:r w:rsidR="00E6212C">
        <w:rPr>
          <w:rFonts w:ascii="Arial" w:hAnsi="Arial" w:cs="Arial"/>
          <w:b/>
          <w:iCs/>
          <w:color w:val="7030A0"/>
          <w:sz w:val="22"/>
          <w:szCs w:val="22"/>
        </w:rPr>
        <w:t>, a</w:t>
      </w:r>
      <w:r w:rsidR="00E15651" w:rsidRPr="00E15651">
        <w:rPr>
          <w:rFonts w:ascii="Arial" w:hAnsi="Arial" w:cs="Arial"/>
          <w:b/>
          <w:iCs/>
          <w:color w:val="7030A0"/>
          <w:sz w:val="22"/>
          <w:szCs w:val="22"/>
        </w:rPr>
        <w:t>ccountability</w:t>
      </w:r>
      <w:r w:rsidR="00E6212C">
        <w:rPr>
          <w:rFonts w:ascii="Arial" w:hAnsi="Arial" w:cs="Arial"/>
          <w:b/>
          <w:iCs/>
          <w:color w:val="7030A0"/>
          <w:sz w:val="22"/>
          <w:szCs w:val="22"/>
        </w:rPr>
        <w:t xml:space="preserve"> and </w:t>
      </w:r>
      <w:r w:rsidR="003B0D61">
        <w:rPr>
          <w:rFonts w:ascii="Arial" w:hAnsi="Arial" w:cs="Arial"/>
          <w:b/>
          <w:iCs/>
          <w:color w:val="7030A0"/>
          <w:sz w:val="22"/>
          <w:szCs w:val="22"/>
        </w:rPr>
        <w:t xml:space="preserve">our 10 </w:t>
      </w:r>
      <w:r w:rsidR="00E6212C">
        <w:rPr>
          <w:rFonts w:ascii="Arial" w:hAnsi="Arial" w:cs="Arial"/>
          <w:b/>
          <w:iCs/>
          <w:color w:val="7030A0"/>
          <w:sz w:val="22"/>
          <w:szCs w:val="22"/>
        </w:rPr>
        <w:t>key requirements</w:t>
      </w:r>
    </w:p>
    <w:p w14:paraId="6533ADCD" w14:textId="5D017F0A" w:rsidR="000C113A" w:rsidRDefault="000C113A" w:rsidP="00E6212C">
      <w:pPr>
        <w:pStyle w:val="Pa7"/>
        <w:rPr>
          <w:rFonts w:ascii="Arial" w:hAnsi="Arial" w:cs="Arial"/>
          <w:iCs/>
          <w:color w:val="000000"/>
          <w:sz w:val="22"/>
          <w:szCs w:val="22"/>
        </w:rPr>
      </w:pPr>
      <w:r w:rsidRPr="00E92E1D">
        <w:rPr>
          <w:rFonts w:ascii="Arial" w:hAnsi="Arial" w:cs="Arial"/>
          <w:iCs/>
          <w:color w:val="000000"/>
          <w:sz w:val="22"/>
          <w:szCs w:val="22"/>
        </w:rPr>
        <w:t xml:space="preserve">Each RPD will be expected to </w:t>
      </w:r>
      <w:r w:rsidR="00AD64CE">
        <w:rPr>
          <w:rFonts w:ascii="Arial" w:hAnsi="Arial" w:cs="Arial"/>
          <w:iCs/>
          <w:color w:val="000000"/>
          <w:sz w:val="22"/>
          <w:szCs w:val="22"/>
        </w:rPr>
        <w:t>show that they</w:t>
      </w:r>
      <w:r w:rsidRPr="00E92E1D">
        <w:rPr>
          <w:rFonts w:ascii="Arial" w:hAnsi="Arial" w:cs="Arial"/>
          <w:iCs/>
          <w:color w:val="000000"/>
          <w:sz w:val="22"/>
          <w:szCs w:val="22"/>
        </w:rPr>
        <w:t xml:space="preserve"> have spent their money well and </w:t>
      </w:r>
      <w:r w:rsidR="00535AA4">
        <w:rPr>
          <w:rFonts w:ascii="Arial" w:hAnsi="Arial" w:cs="Arial"/>
          <w:iCs/>
          <w:color w:val="000000"/>
          <w:sz w:val="22"/>
          <w:szCs w:val="22"/>
        </w:rPr>
        <w:t xml:space="preserve">can </w:t>
      </w:r>
      <w:r w:rsidRPr="00E92E1D">
        <w:rPr>
          <w:rFonts w:ascii="Arial" w:hAnsi="Arial" w:cs="Arial"/>
          <w:iCs/>
          <w:color w:val="000000"/>
          <w:sz w:val="22"/>
          <w:szCs w:val="22"/>
        </w:rPr>
        <w:t>describe the commissioning decisions and the service delivery they have funded.</w:t>
      </w:r>
      <w:r w:rsidR="00662369">
        <w:rPr>
          <w:rFonts w:ascii="Arial" w:hAnsi="Arial" w:cs="Arial"/>
          <w:iCs/>
          <w:color w:val="000000"/>
          <w:sz w:val="22"/>
          <w:szCs w:val="22"/>
        </w:rPr>
        <w:t xml:space="preserve"> They will need to evidence to the CPO that they</w:t>
      </w:r>
      <w:r w:rsidR="0010727C">
        <w:rPr>
          <w:rFonts w:ascii="Arial" w:hAnsi="Arial" w:cs="Arial"/>
          <w:iCs/>
          <w:color w:val="000000"/>
          <w:sz w:val="22"/>
          <w:szCs w:val="22"/>
        </w:rPr>
        <w:t xml:space="preserve"> have given proper consideration </w:t>
      </w:r>
      <w:r w:rsidR="0029483E">
        <w:rPr>
          <w:rFonts w:ascii="Arial" w:hAnsi="Arial" w:cs="Arial"/>
          <w:iCs/>
          <w:color w:val="000000"/>
          <w:sz w:val="22"/>
          <w:szCs w:val="22"/>
        </w:rPr>
        <w:t xml:space="preserve">as </w:t>
      </w:r>
      <w:r w:rsidR="0010727C">
        <w:rPr>
          <w:rFonts w:ascii="Arial" w:hAnsi="Arial" w:cs="Arial"/>
          <w:iCs/>
          <w:color w:val="000000"/>
          <w:sz w:val="22"/>
          <w:szCs w:val="22"/>
        </w:rPr>
        <w:t>to how the ROIF will be spent</w:t>
      </w:r>
      <w:r w:rsidR="00AD64CE">
        <w:rPr>
          <w:rFonts w:ascii="Arial" w:hAnsi="Arial" w:cs="Arial"/>
          <w:iCs/>
          <w:color w:val="000000"/>
          <w:sz w:val="22"/>
          <w:szCs w:val="22"/>
        </w:rPr>
        <w:t xml:space="preserve">, </w:t>
      </w:r>
      <w:r w:rsidR="0010727C">
        <w:rPr>
          <w:rFonts w:ascii="Arial" w:hAnsi="Arial" w:cs="Arial"/>
          <w:iCs/>
          <w:color w:val="000000"/>
          <w:sz w:val="22"/>
          <w:szCs w:val="22"/>
        </w:rPr>
        <w:t xml:space="preserve">and will be judged against the nationally agreed </w:t>
      </w:r>
      <w:r w:rsidRPr="00E92E1D">
        <w:rPr>
          <w:rFonts w:ascii="Arial" w:hAnsi="Arial" w:cs="Arial"/>
          <w:iCs/>
          <w:color w:val="000000"/>
          <w:sz w:val="22"/>
          <w:szCs w:val="22"/>
        </w:rPr>
        <w:t xml:space="preserve">success criteria </w:t>
      </w:r>
      <w:r w:rsidR="0010727C">
        <w:rPr>
          <w:rFonts w:ascii="Arial" w:hAnsi="Arial" w:cs="Arial"/>
          <w:iCs/>
          <w:color w:val="000000"/>
          <w:sz w:val="22"/>
          <w:szCs w:val="22"/>
        </w:rPr>
        <w:t>to confirm that</w:t>
      </w:r>
      <w:r w:rsidR="00535AA4">
        <w:rPr>
          <w:rFonts w:ascii="Arial" w:hAnsi="Arial" w:cs="Arial"/>
          <w:iCs/>
          <w:color w:val="000000"/>
          <w:sz w:val="22"/>
          <w:szCs w:val="22"/>
        </w:rPr>
        <w:t xml:space="preserve"> they</w:t>
      </w:r>
      <w:r w:rsidRPr="00E92E1D">
        <w:rPr>
          <w:rFonts w:ascii="Arial" w:hAnsi="Arial" w:cs="Arial"/>
          <w:iCs/>
          <w:color w:val="000000"/>
          <w:sz w:val="22"/>
          <w:szCs w:val="22"/>
        </w:rPr>
        <w:t xml:space="preserve">: </w:t>
      </w:r>
    </w:p>
    <w:p w14:paraId="1AFF7514" w14:textId="77777777" w:rsidR="00E6212C" w:rsidRPr="00E92E1D" w:rsidRDefault="00E6212C" w:rsidP="00E6212C">
      <w:pPr>
        <w:pStyle w:val="Pa7"/>
        <w:rPr>
          <w:rFonts w:ascii="Arial" w:hAnsi="Arial" w:cs="Arial"/>
          <w:iCs/>
          <w:color w:val="000000"/>
          <w:sz w:val="22"/>
          <w:szCs w:val="22"/>
        </w:rPr>
      </w:pPr>
    </w:p>
    <w:p w14:paraId="0A9F6B9D" w14:textId="735193F0" w:rsidR="000C113A" w:rsidRPr="00E92E1D" w:rsidRDefault="00E6212C" w:rsidP="00360B2E">
      <w:pPr>
        <w:pStyle w:val="Pa8"/>
        <w:numPr>
          <w:ilvl w:val="0"/>
          <w:numId w:val="1"/>
        </w:numPr>
        <w:rPr>
          <w:rFonts w:ascii="Arial" w:hAnsi="Arial" w:cs="Arial"/>
          <w:iCs/>
          <w:color w:val="000000"/>
          <w:sz w:val="22"/>
          <w:szCs w:val="22"/>
        </w:rPr>
      </w:pPr>
      <w:r>
        <w:rPr>
          <w:rFonts w:ascii="Arial" w:hAnsi="Arial" w:cs="Arial"/>
          <w:iCs/>
          <w:color w:val="000000"/>
          <w:sz w:val="22"/>
          <w:szCs w:val="22"/>
        </w:rPr>
        <w:t xml:space="preserve">Address </w:t>
      </w:r>
      <w:r w:rsidR="000C113A" w:rsidRPr="00E92E1D">
        <w:rPr>
          <w:rFonts w:ascii="Arial" w:hAnsi="Arial" w:cs="Arial"/>
          <w:iCs/>
          <w:color w:val="000000"/>
          <w:sz w:val="22"/>
          <w:szCs w:val="22"/>
        </w:rPr>
        <w:t xml:space="preserve">a </w:t>
      </w:r>
      <w:r w:rsidR="000C113A" w:rsidRPr="00E6212C">
        <w:rPr>
          <w:rFonts w:ascii="Arial" w:hAnsi="Arial" w:cs="Arial"/>
          <w:iCs/>
          <w:color w:val="7030A0"/>
          <w:sz w:val="22"/>
          <w:szCs w:val="22"/>
        </w:rPr>
        <w:t xml:space="preserve">genuine service gap </w:t>
      </w:r>
      <w:r w:rsidR="000C113A" w:rsidRPr="00E92E1D">
        <w:rPr>
          <w:rFonts w:ascii="Arial" w:hAnsi="Arial" w:cs="Arial"/>
          <w:iCs/>
          <w:color w:val="000000"/>
          <w:sz w:val="22"/>
          <w:szCs w:val="22"/>
        </w:rPr>
        <w:t>that the funding can address and will offer additionality to the services expected from sentence delivery arrangements or from statutory responsi</w:t>
      </w:r>
      <w:r>
        <w:rPr>
          <w:rFonts w:ascii="Arial" w:hAnsi="Arial" w:cs="Arial"/>
          <w:iCs/>
          <w:color w:val="000000"/>
          <w:sz w:val="22"/>
          <w:szCs w:val="22"/>
        </w:rPr>
        <w:t>bilities held by other agencies;</w:t>
      </w:r>
    </w:p>
    <w:p w14:paraId="20F02D38" w14:textId="1BA5533A" w:rsidR="000C113A" w:rsidRPr="00E92E1D" w:rsidRDefault="00E6212C" w:rsidP="00360B2E">
      <w:pPr>
        <w:pStyle w:val="Pa8"/>
        <w:numPr>
          <w:ilvl w:val="0"/>
          <w:numId w:val="1"/>
        </w:numPr>
        <w:rPr>
          <w:rFonts w:ascii="Arial" w:hAnsi="Arial" w:cs="Arial"/>
          <w:iCs/>
          <w:color w:val="000000"/>
          <w:sz w:val="22"/>
          <w:szCs w:val="22"/>
        </w:rPr>
      </w:pPr>
      <w:r>
        <w:rPr>
          <w:rFonts w:ascii="Arial" w:hAnsi="Arial" w:cs="Arial"/>
          <w:iCs/>
          <w:color w:val="000000"/>
          <w:sz w:val="22"/>
          <w:szCs w:val="22"/>
        </w:rPr>
        <w:t>S</w:t>
      </w:r>
      <w:r w:rsidR="000C113A" w:rsidRPr="00E92E1D">
        <w:rPr>
          <w:rFonts w:ascii="Arial" w:hAnsi="Arial" w:cs="Arial"/>
          <w:iCs/>
          <w:color w:val="000000"/>
          <w:sz w:val="22"/>
          <w:szCs w:val="22"/>
        </w:rPr>
        <w:t xml:space="preserve">how how this service will </w:t>
      </w:r>
      <w:r w:rsidR="00360B2E" w:rsidRPr="00E6212C">
        <w:rPr>
          <w:rFonts w:ascii="Arial" w:hAnsi="Arial" w:cs="Arial"/>
          <w:iCs/>
          <w:color w:val="7030A0"/>
          <w:sz w:val="22"/>
          <w:szCs w:val="22"/>
        </w:rPr>
        <w:t>support you</w:t>
      </w:r>
      <w:r w:rsidR="000C113A" w:rsidRPr="00E6212C">
        <w:rPr>
          <w:rFonts w:ascii="Arial" w:hAnsi="Arial" w:cs="Arial"/>
          <w:iCs/>
          <w:color w:val="7030A0"/>
          <w:sz w:val="22"/>
          <w:szCs w:val="22"/>
        </w:rPr>
        <w:t xml:space="preserve"> and </w:t>
      </w:r>
      <w:r w:rsidR="00360B2E" w:rsidRPr="00E6212C">
        <w:rPr>
          <w:rFonts w:ascii="Arial" w:hAnsi="Arial" w:cs="Arial"/>
          <w:iCs/>
          <w:color w:val="7030A0"/>
          <w:sz w:val="22"/>
          <w:szCs w:val="22"/>
        </w:rPr>
        <w:t>be</w:t>
      </w:r>
      <w:r w:rsidR="000C113A" w:rsidRPr="00E6212C">
        <w:rPr>
          <w:rFonts w:ascii="Arial" w:hAnsi="Arial" w:cs="Arial"/>
          <w:iCs/>
          <w:color w:val="7030A0"/>
          <w:sz w:val="22"/>
          <w:szCs w:val="22"/>
        </w:rPr>
        <w:t>nefit those at risk of reoffending</w:t>
      </w:r>
      <w:r>
        <w:rPr>
          <w:rFonts w:ascii="Arial" w:hAnsi="Arial" w:cs="Arial"/>
          <w:iCs/>
          <w:color w:val="000000"/>
          <w:sz w:val="22"/>
          <w:szCs w:val="22"/>
        </w:rPr>
        <w:t>;</w:t>
      </w:r>
      <w:r w:rsidR="000C113A" w:rsidRPr="00E92E1D">
        <w:rPr>
          <w:rFonts w:ascii="Arial" w:hAnsi="Arial" w:cs="Arial"/>
          <w:iCs/>
          <w:color w:val="000000"/>
          <w:sz w:val="22"/>
          <w:szCs w:val="22"/>
        </w:rPr>
        <w:t xml:space="preserve"> </w:t>
      </w:r>
    </w:p>
    <w:p w14:paraId="39038640" w14:textId="3076A76C" w:rsidR="000C113A" w:rsidRPr="00E92E1D" w:rsidRDefault="00E6212C" w:rsidP="00360B2E">
      <w:pPr>
        <w:pStyle w:val="Pa8"/>
        <w:numPr>
          <w:ilvl w:val="0"/>
          <w:numId w:val="1"/>
        </w:numPr>
        <w:rPr>
          <w:rFonts w:ascii="Arial" w:hAnsi="Arial" w:cs="Arial"/>
          <w:iCs/>
          <w:color w:val="000000"/>
          <w:sz w:val="22"/>
          <w:szCs w:val="22"/>
        </w:rPr>
      </w:pPr>
      <w:r>
        <w:rPr>
          <w:rFonts w:ascii="Arial" w:hAnsi="Arial" w:cs="Arial"/>
          <w:iCs/>
          <w:color w:val="000000"/>
          <w:sz w:val="22"/>
          <w:szCs w:val="22"/>
        </w:rPr>
        <w:t xml:space="preserve">Allow a </w:t>
      </w:r>
      <w:r w:rsidR="000C113A" w:rsidRPr="00E6212C">
        <w:rPr>
          <w:rFonts w:ascii="Arial" w:hAnsi="Arial" w:cs="Arial"/>
          <w:iCs/>
          <w:color w:val="7030A0"/>
          <w:sz w:val="22"/>
          <w:szCs w:val="22"/>
        </w:rPr>
        <w:t xml:space="preserve">fair process </w:t>
      </w:r>
      <w:r w:rsidR="000C113A" w:rsidRPr="00E92E1D">
        <w:rPr>
          <w:rFonts w:ascii="Arial" w:hAnsi="Arial" w:cs="Arial"/>
          <w:iCs/>
          <w:color w:val="000000"/>
          <w:sz w:val="22"/>
          <w:szCs w:val="22"/>
        </w:rPr>
        <w:t>to award the funding and oversee its use</w:t>
      </w:r>
      <w:r>
        <w:rPr>
          <w:rFonts w:ascii="Arial" w:hAnsi="Arial" w:cs="Arial"/>
          <w:iCs/>
          <w:color w:val="000000"/>
          <w:sz w:val="22"/>
          <w:szCs w:val="22"/>
        </w:rPr>
        <w:t>;</w:t>
      </w:r>
      <w:r w:rsidR="000C113A" w:rsidRPr="00E92E1D">
        <w:rPr>
          <w:rFonts w:ascii="Arial" w:hAnsi="Arial" w:cs="Arial"/>
          <w:iCs/>
          <w:color w:val="000000"/>
          <w:sz w:val="22"/>
          <w:szCs w:val="22"/>
        </w:rPr>
        <w:t xml:space="preserve"> </w:t>
      </w:r>
    </w:p>
    <w:p w14:paraId="574214F9" w14:textId="53019B6C" w:rsidR="000C113A" w:rsidRPr="00E92E1D" w:rsidRDefault="00E6212C" w:rsidP="00360B2E">
      <w:pPr>
        <w:pStyle w:val="Pa8"/>
        <w:numPr>
          <w:ilvl w:val="0"/>
          <w:numId w:val="1"/>
        </w:numPr>
        <w:rPr>
          <w:rFonts w:ascii="Arial" w:hAnsi="Arial" w:cs="Arial"/>
          <w:iCs/>
          <w:color w:val="000000"/>
          <w:sz w:val="22"/>
          <w:szCs w:val="22"/>
        </w:rPr>
      </w:pPr>
      <w:r>
        <w:rPr>
          <w:rFonts w:ascii="Arial" w:hAnsi="Arial" w:cs="Arial"/>
          <w:iCs/>
          <w:color w:val="000000"/>
          <w:sz w:val="22"/>
          <w:szCs w:val="22"/>
        </w:rPr>
        <w:t xml:space="preserve">Evaluate </w:t>
      </w:r>
      <w:r w:rsidR="000C113A" w:rsidRPr="00E92E1D">
        <w:rPr>
          <w:rFonts w:ascii="Arial" w:hAnsi="Arial" w:cs="Arial"/>
          <w:iCs/>
          <w:color w:val="000000"/>
          <w:sz w:val="22"/>
          <w:szCs w:val="22"/>
        </w:rPr>
        <w:t>and measure</w:t>
      </w:r>
      <w:r>
        <w:rPr>
          <w:rFonts w:ascii="Arial" w:hAnsi="Arial" w:cs="Arial"/>
          <w:iCs/>
          <w:color w:val="000000"/>
          <w:sz w:val="22"/>
          <w:szCs w:val="22"/>
        </w:rPr>
        <w:t xml:space="preserve"> performance</w:t>
      </w:r>
      <w:r w:rsidR="000C113A" w:rsidRPr="00E92E1D">
        <w:rPr>
          <w:rFonts w:ascii="Arial" w:hAnsi="Arial" w:cs="Arial"/>
          <w:iCs/>
          <w:color w:val="000000"/>
          <w:sz w:val="22"/>
          <w:szCs w:val="22"/>
        </w:rPr>
        <w:t xml:space="preserve"> to </w:t>
      </w:r>
      <w:r w:rsidR="000C113A" w:rsidRPr="00E6212C">
        <w:rPr>
          <w:rFonts w:ascii="Arial" w:hAnsi="Arial" w:cs="Arial"/>
          <w:iCs/>
          <w:color w:val="7030A0"/>
          <w:sz w:val="22"/>
          <w:szCs w:val="22"/>
        </w:rPr>
        <w:t xml:space="preserve">assess the impact </w:t>
      </w:r>
      <w:r w:rsidR="000C113A" w:rsidRPr="00E92E1D">
        <w:rPr>
          <w:rFonts w:ascii="Arial" w:hAnsi="Arial" w:cs="Arial"/>
          <w:iCs/>
          <w:color w:val="000000"/>
          <w:sz w:val="22"/>
          <w:szCs w:val="22"/>
        </w:rPr>
        <w:t>of the service</w:t>
      </w:r>
      <w:r>
        <w:rPr>
          <w:rFonts w:ascii="Arial" w:hAnsi="Arial" w:cs="Arial"/>
          <w:iCs/>
          <w:color w:val="000000"/>
          <w:sz w:val="22"/>
          <w:szCs w:val="22"/>
        </w:rPr>
        <w:t>;</w:t>
      </w:r>
      <w:r w:rsidR="000C113A" w:rsidRPr="00E92E1D">
        <w:rPr>
          <w:rFonts w:ascii="Arial" w:hAnsi="Arial" w:cs="Arial"/>
          <w:iCs/>
          <w:color w:val="000000"/>
          <w:sz w:val="22"/>
          <w:szCs w:val="22"/>
        </w:rPr>
        <w:t xml:space="preserve"> </w:t>
      </w:r>
    </w:p>
    <w:p w14:paraId="1D2B787D" w14:textId="7FB4591E" w:rsidR="000C113A" w:rsidRPr="00360B2E" w:rsidRDefault="00E6212C" w:rsidP="00360B2E">
      <w:pPr>
        <w:pStyle w:val="ListParagraph"/>
        <w:numPr>
          <w:ilvl w:val="0"/>
          <w:numId w:val="1"/>
        </w:numPr>
        <w:rPr>
          <w:rFonts w:ascii="Arial" w:hAnsi="Arial" w:cs="Arial"/>
          <w:iCs/>
          <w:color w:val="000000"/>
        </w:rPr>
      </w:pPr>
      <w:r>
        <w:rPr>
          <w:rFonts w:ascii="Arial" w:hAnsi="Arial" w:cs="Arial"/>
          <w:iCs/>
          <w:color w:val="000000"/>
        </w:rPr>
        <w:t>M</w:t>
      </w:r>
      <w:r w:rsidR="000C113A" w:rsidRPr="00360B2E">
        <w:rPr>
          <w:rFonts w:ascii="Arial" w:hAnsi="Arial" w:cs="Arial"/>
          <w:iCs/>
          <w:color w:val="000000"/>
        </w:rPr>
        <w:t xml:space="preserve">aximise </w:t>
      </w:r>
      <w:r w:rsidR="000C113A" w:rsidRPr="00E6212C">
        <w:rPr>
          <w:rFonts w:ascii="Arial" w:hAnsi="Arial" w:cs="Arial"/>
          <w:iCs/>
          <w:color w:val="7030A0"/>
        </w:rPr>
        <w:t xml:space="preserve">value for money and efficiency </w:t>
      </w:r>
      <w:r w:rsidR="000C113A" w:rsidRPr="00360B2E">
        <w:rPr>
          <w:rFonts w:ascii="Arial" w:hAnsi="Arial" w:cs="Arial"/>
          <w:iCs/>
          <w:color w:val="000000"/>
        </w:rPr>
        <w:t>of the investment, including the value of funding from co-commissioners/</w:t>
      </w:r>
      <w:r w:rsidR="00360B2E">
        <w:rPr>
          <w:rFonts w:ascii="Arial" w:hAnsi="Arial" w:cs="Arial"/>
          <w:iCs/>
          <w:color w:val="000000"/>
        </w:rPr>
        <w:t xml:space="preserve">funders and coordination with </w:t>
      </w:r>
      <w:r w:rsidR="000C113A" w:rsidRPr="00360B2E">
        <w:rPr>
          <w:rFonts w:ascii="Arial" w:hAnsi="Arial" w:cs="Arial"/>
          <w:iCs/>
          <w:color w:val="000000"/>
        </w:rPr>
        <w:t>custodial regions</w:t>
      </w:r>
      <w:r>
        <w:rPr>
          <w:rFonts w:ascii="Arial" w:hAnsi="Arial" w:cs="Arial"/>
          <w:iCs/>
          <w:color w:val="000000"/>
        </w:rPr>
        <w:t>;</w:t>
      </w:r>
    </w:p>
    <w:p w14:paraId="27BA19B2" w14:textId="44CBE0C3" w:rsidR="000C113A" w:rsidRPr="00E92E1D" w:rsidRDefault="00E6212C" w:rsidP="00360B2E">
      <w:pPr>
        <w:pStyle w:val="Pa8"/>
        <w:numPr>
          <w:ilvl w:val="0"/>
          <w:numId w:val="1"/>
        </w:numPr>
        <w:rPr>
          <w:rFonts w:ascii="Arial" w:hAnsi="Arial" w:cs="Arial"/>
          <w:iCs/>
          <w:color w:val="000000"/>
          <w:sz w:val="22"/>
          <w:szCs w:val="22"/>
        </w:rPr>
      </w:pPr>
      <w:r>
        <w:rPr>
          <w:rFonts w:ascii="Arial" w:hAnsi="Arial" w:cs="Arial"/>
          <w:iCs/>
          <w:color w:val="000000"/>
          <w:sz w:val="22"/>
          <w:szCs w:val="22"/>
        </w:rPr>
        <w:t xml:space="preserve">Undertake </w:t>
      </w:r>
      <w:r w:rsidR="000C113A" w:rsidRPr="00E6212C">
        <w:rPr>
          <w:rFonts w:ascii="Arial" w:hAnsi="Arial" w:cs="Arial"/>
          <w:iCs/>
          <w:color w:val="7030A0"/>
          <w:sz w:val="22"/>
          <w:szCs w:val="22"/>
        </w:rPr>
        <w:t xml:space="preserve">due diligence </w:t>
      </w:r>
      <w:r w:rsidR="000C113A" w:rsidRPr="00E92E1D">
        <w:rPr>
          <w:rFonts w:ascii="Arial" w:hAnsi="Arial" w:cs="Arial"/>
          <w:iCs/>
          <w:color w:val="000000"/>
          <w:sz w:val="22"/>
          <w:szCs w:val="22"/>
        </w:rPr>
        <w:t>to ensure any potential dis-benefits and risks are identified</w:t>
      </w:r>
      <w:r>
        <w:rPr>
          <w:rFonts w:ascii="Arial" w:hAnsi="Arial" w:cs="Arial"/>
          <w:iCs/>
          <w:color w:val="000000"/>
          <w:sz w:val="22"/>
          <w:szCs w:val="22"/>
        </w:rPr>
        <w:t>;</w:t>
      </w:r>
      <w:r w:rsidR="000C113A" w:rsidRPr="00E92E1D">
        <w:rPr>
          <w:rFonts w:ascii="Arial" w:hAnsi="Arial" w:cs="Arial"/>
          <w:iCs/>
          <w:color w:val="000000"/>
          <w:sz w:val="22"/>
          <w:szCs w:val="22"/>
        </w:rPr>
        <w:t xml:space="preserve"> </w:t>
      </w:r>
    </w:p>
    <w:p w14:paraId="297883AD" w14:textId="5C7A8542" w:rsidR="000C113A" w:rsidRPr="00E92E1D" w:rsidRDefault="00E6212C" w:rsidP="00360B2E">
      <w:pPr>
        <w:pStyle w:val="Pa8"/>
        <w:numPr>
          <w:ilvl w:val="0"/>
          <w:numId w:val="1"/>
        </w:numPr>
        <w:rPr>
          <w:rFonts w:ascii="Arial" w:hAnsi="Arial" w:cs="Arial"/>
          <w:iCs/>
          <w:color w:val="000000"/>
          <w:sz w:val="22"/>
          <w:szCs w:val="22"/>
        </w:rPr>
      </w:pPr>
      <w:r w:rsidRPr="00E6212C">
        <w:rPr>
          <w:rFonts w:ascii="Arial" w:hAnsi="Arial" w:cs="Arial"/>
          <w:iCs/>
          <w:color w:val="7030A0"/>
          <w:sz w:val="22"/>
          <w:szCs w:val="22"/>
        </w:rPr>
        <w:t>As</w:t>
      </w:r>
      <w:r w:rsidR="000C113A" w:rsidRPr="00E6212C">
        <w:rPr>
          <w:rFonts w:ascii="Arial" w:hAnsi="Arial" w:cs="Arial"/>
          <w:iCs/>
          <w:color w:val="7030A0"/>
          <w:sz w:val="22"/>
          <w:szCs w:val="22"/>
        </w:rPr>
        <w:t>sess</w:t>
      </w:r>
      <w:r w:rsidRPr="00E6212C">
        <w:rPr>
          <w:rFonts w:ascii="Arial" w:hAnsi="Arial" w:cs="Arial"/>
          <w:iCs/>
          <w:color w:val="7030A0"/>
          <w:sz w:val="22"/>
          <w:szCs w:val="22"/>
        </w:rPr>
        <w:t xml:space="preserve"> the impact</w:t>
      </w:r>
      <w:r w:rsidR="000C113A" w:rsidRPr="00E6212C">
        <w:rPr>
          <w:rFonts w:ascii="Arial" w:hAnsi="Arial" w:cs="Arial"/>
          <w:iCs/>
          <w:color w:val="7030A0"/>
          <w:sz w:val="22"/>
          <w:szCs w:val="22"/>
        </w:rPr>
        <w:t xml:space="preserve"> </w:t>
      </w:r>
      <w:r w:rsidR="000C113A" w:rsidRPr="00E92E1D">
        <w:rPr>
          <w:rFonts w:ascii="Arial" w:hAnsi="Arial" w:cs="Arial"/>
          <w:iCs/>
          <w:color w:val="000000"/>
          <w:sz w:val="22"/>
          <w:szCs w:val="22"/>
        </w:rPr>
        <w:t>for each funding decision and for the ROIF overall spending plan</w:t>
      </w:r>
      <w:r>
        <w:rPr>
          <w:rFonts w:ascii="Arial" w:hAnsi="Arial" w:cs="Arial"/>
          <w:iCs/>
          <w:color w:val="000000"/>
          <w:sz w:val="22"/>
          <w:szCs w:val="22"/>
        </w:rPr>
        <w:t>;</w:t>
      </w:r>
      <w:r w:rsidR="000C113A" w:rsidRPr="00E92E1D">
        <w:rPr>
          <w:rFonts w:ascii="Arial" w:hAnsi="Arial" w:cs="Arial"/>
          <w:iCs/>
          <w:color w:val="000000"/>
          <w:sz w:val="22"/>
          <w:szCs w:val="22"/>
        </w:rPr>
        <w:t xml:space="preserve"> </w:t>
      </w:r>
    </w:p>
    <w:p w14:paraId="0F605EAA" w14:textId="63572ECF" w:rsidR="000C113A" w:rsidRPr="00E92E1D" w:rsidRDefault="00E6212C" w:rsidP="00360B2E">
      <w:pPr>
        <w:pStyle w:val="Pa8"/>
        <w:numPr>
          <w:ilvl w:val="0"/>
          <w:numId w:val="1"/>
        </w:numPr>
        <w:rPr>
          <w:rFonts w:ascii="Arial" w:hAnsi="Arial" w:cs="Arial"/>
          <w:iCs/>
          <w:color w:val="000000"/>
          <w:sz w:val="22"/>
          <w:szCs w:val="22"/>
        </w:rPr>
      </w:pPr>
      <w:r w:rsidRPr="00E6212C">
        <w:rPr>
          <w:rFonts w:ascii="Arial" w:hAnsi="Arial" w:cs="Arial"/>
          <w:iCs/>
          <w:color w:val="7030A0"/>
          <w:sz w:val="22"/>
          <w:szCs w:val="22"/>
        </w:rPr>
        <w:lastRenderedPageBreak/>
        <w:t>Benefit</w:t>
      </w:r>
      <w:r w:rsidR="000C113A" w:rsidRPr="00E6212C">
        <w:rPr>
          <w:rFonts w:ascii="Arial" w:hAnsi="Arial" w:cs="Arial"/>
          <w:iCs/>
          <w:color w:val="7030A0"/>
          <w:sz w:val="22"/>
          <w:szCs w:val="22"/>
        </w:rPr>
        <w:t xml:space="preserve"> service users</w:t>
      </w:r>
      <w:r w:rsidR="000C113A" w:rsidRPr="00E92E1D">
        <w:rPr>
          <w:rFonts w:ascii="Arial" w:hAnsi="Arial" w:cs="Arial"/>
          <w:iCs/>
          <w:color w:val="000000"/>
          <w:sz w:val="22"/>
          <w:szCs w:val="22"/>
        </w:rPr>
        <w:t xml:space="preserve">, which may directly enhance sentence delivery outcomes, but </w:t>
      </w:r>
      <w:r w:rsidR="000C113A" w:rsidRPr="00360B2E">
        <w:rPr>
          <w:rFonts w:ascii="Arial" w:hAnsi="Arial" w:cs="Arial"/>
          <w:iCs/>
          <w:color w:val="7030A0"/>
          <w:sz w:val="22"/>
          <w:szCs w:val="22"/>
        </w:rPr>
        <w:t xml:space="preserve">must not </w:t>
      </w:r>
      <w:r w:rsidR="000C113A" w:rsidRPr="00E92E1D">
        <w:rPr>
          <w:rFonts w:ascii="Arial" w:hAnsi="Arial" w:cs="Arial"/>
          <w:iCs/>
          <w:color w:val="000000"/>
          <w:sz w:val="22"/>
          <w:szCs w:val="22"/>
        </w:rPr>
        <w:t xml:space="preserve">directly invest in enforceable sentence delivery content </w:t>
      </w:r>
      <w:r w:rsidR="00360B2E">
        <w:rPr>
          <w:rFonts w:ascii="Arial" w:hAnsi="Arial" w:cs="Arial"/>
          <w:iCs/>
          <w:color w:val="000000"/>
          <w:sz w:val="22"/>
          <w:szCs w:val="22"/>
        </w:rPr>
        <w:t>or</w:t>
      </w:r>
      <w:r w:rsidR="000C113A" w:rsidRPr="00E92E1D">
        <w:rPr>
          <w:rFonts w:ascii="Arial" w:hAnsi="Arial" w:cs="Arial"/>
          <w:iCs/>
          <w:color w:val="000000"/>
          <w:sz w:val="22"/>
          <w:szCs w:val="22"/>
        </w:rPr>
        <w:t xml:space="preserve"> cross-subsidise activity already funded or enforceable sentence requirement contracts</w:t>
      </w:r>
      <w:r>
        <w:rPr>
          <w:rFonts w:ascii="Arial" w:hAnsi="Arial" w:cs="Arial"/>
          <w:iCs/>
          <w:color w:val="000000"/>
          <w:sz w:val="22"/>
          <w:szCs w:val="22"/>
        </w:rPr>
        <w:t>;</w:t>
      </w:r>
      <w:r w:rsidR="000C113A" w:rsidRPr="00E92E1D">
        <w:rPr>
          <w:rFonts w:ascii="Arial" w:hAnsi="Arial" w:cs="Arial"/>
          <w:iCs/>
          <w:color w:val="000000"/>
          <w:sz w:val="22"/>
          <w:szCs w:val="22"/>
        </w:rPr>
        <w:t xml:space="preserve"> </w:t>
      </w:r>
    </w:p>
    <w:p w14:paraId="7F1C58ED" w14:textId="22ABA261" w:rsidR="000C113A" w:rsidRPr="00E92E1D" w:rsidRDefault="00E6212C" w:rsidP="00360B2E">
      <w:pPr>
        <w:pStyle w:val="Pa8"/>
        <w:numPr>
          <w:ilvl w:val="0"/>
          <w:numId w:val="1"/>
        </w:numPr>
        <w:rPr>
          <w:rFonts w:ascii="Arial" w:hAnsi="Arial" w:cs="Arial"/>
          <w:iCs/>
          <w:color w:val="000000"/>
          <w:sz w:val="22"/>
          <w:szCs w:val="22"/>
        </w:rPr>
      </w:pPr>
      <w:r>
        <w:rPr>
          <w:rFonts w:ascii="Arial" w:hAnsi="Arial" w:cs="Arial"/>
          <w:iCs/>
          <w:color w:val="000000"/>
          <w:sz w:val="22"/>
          <w:szCs w:val="22"/>
        </w:rPr>
        <w:t xml:space="preserve">Offer </w:t>
      </w:r>
      <w:r w:rsidRPr="00E6212C">
        <w:rPr>
          <w:rFonts w:ascii="Arial" w:hAnsi="Arial" w:cs="Arial"/>
          <w:iCs/>
          <w:color w:val="7030A0"/>
          <w:sz w:val="22"/>
          <w:szCs w:val="22"/>
        </w:rPr>
        <w:t>s</w:t>
      </w:r>
      <w:r w:rsidR="000C113A" w:rsidRPr="00E6212C">
        <w:rPr>
          <w:rFonts w:ascii="Arial" w:hAnsi="Arial" w:cs="Arial"/>
          <w:iCs/>
          <w:color w:val="7030A0"/>
          <w:sz w:val="22"/>
          <w:szCs w:val="22"/>
        </w:rPr>
        <w:t xml:space="preserve">ustainable provision </w:t>
      </w:r>
      <w:r w:rsidR="000C113A" w:rsidRPr="00E92E1D">
        <w:rPr>
          <w:rFonts w:ascii="Arial" w:hAnsi="Arial" w:cs="Arial"/>
          <w:iCs/>
          <w:color w:val="000000"/>
          <w:sz w:val="22"/>
          <w:szCs w:val="22"/>
        </w:rPr>
        <w:t>and share best practice with partners and other regions</w:t>
      </w:r>
      <w:r>
        <w:rPr>
          <w:rFonts w:ascii="Arial" w:hAnsi="Arial" w:cs="Arial"/>
          <w:iCs/>
          <w:color w:val="000000"/>
          <w:sz w:val="22"/>
          <w:szCs w:val="22"/>
        </w:rPr>
        <w:t>;</w:t>
      </w:r>
      <w:r w:rsidR="000C113A" w:rsidRPr="00E92E1D">
        <w:rPr>
          <w:rFonts w:ascii="Arial" w:hAnsi="Arial" w:cs="Arial"/>
          <w:iCs/>
          <w:color w:val="000000"/>
          <w:sz w:val="22"/>
          <w:szCs w:val="22"/>
        </w:rPr>
        <w:t xml:space="preserve"> </w:t>
      </w:r>
    </w:p>
    <w:p w14:paraId="7D8C6CA3" w14:textId="5A54413C" w:rsidR="000C113A" w:rsidRPr="00360B2E" w:rsidRDefault="00E6212C" w:rsidP="00360B2E">
      <w:pPr>
        <w:pStyle w:val="ListParagraph"/>
        <w:numPr>
          <w:ilvl w:val="0"/>
          <w:numId w:val="1"/>
        </w:numPr>
        <w:rPr>
          <w:rFonts w:ascii="Arial" w:hAnsi="Arial" w:cs="Arial"/>
          <w:iCs/>
        </w:rPr>
      </w:pPr>
      <w:r w:rsidRPr="00E6212C">
        <w:rPr>
          <w:rFonts w:ascii="Arial" w:hAnsi="Arial" w:cs="Arial"/>
          <w:iCs/>
          <w:color w:val="7030A0"/>
        </w:rPr>
        <w:t>A</w:t>
      </w:r>
      <w:r w:rsidR="000C113A" w:rsidRPr="00E6212C">
        <w:rPr>
          <w:rFonts w:ascii="Arial" w:hAnsi="Arial" w:cs="Arial"/>
          <w:iCs/>
          <w:color w:val="7030A0"/>
        </w:rPr>
        <w:t>lign</w:t>
      </w:r>
      <w:r>
        <w:rPr>
          <w:rFonts w:ascii="Arial" w:hAnsi="Arial" w:cs="Arial"/>
          <w:iCs/>
          <w:color w:val="000000"/>
        </w:rPr>
        <w:t xml:space="preserve"> the</w:t>
      </w:r>
      <w:r w:rsidR="000C113A" w:rsidRPr="00360B2E">
        <w:rPr>
          <w:rFonts w:ascii="Arial" w:hAnsi="Arial" w:cs="Arial"/>
          <w:iCs/>
          <w:color w:val="000000"/>
        </w:rPr>
        <w:t xml:space="preserve"> ROIF investment with </w:t>
      </w:r>
      <w:r w:rsidR="000C113A" w:rsidRPr="00E6212C">
        <w:rPr>
          <w:rFonts w:ascii="Arial" w:hAnsi="Arial" w:cs="Arial"/>
          <w:iCs/>
          <w:color w:val="7030A0"/>
        </w:rPr>
        <w:t>national and regional probation priorities</w:t>
      </w:r>
      <w:r>
        <w:rPr>
          <w:rFonts w:ascii="Arial" w:hAnsi="Arial" w:cs="Arial"/>
          <w:iCs/>
          <w:color w:val="000000"/>
        </w:rPr>
        <w:t>.</w:t>
      </w:r>
    </w:p>
    <w:p w14:paraId="0F30A2D4" w14:textId="6EFCC53E" w:rsidR="000C113A" w:rsidRDefault="000C113A" w:rsidP="00360B2E">
      <w:pPr>
        <w:rPr>
          <w:rFonts w:ascii="Arial" w:hAnsi="Arial" w:cs="Arial"/>
        </w:rPr>
      </w:pPr>
    </w:p>
    <w:p w14:paraId="38FEF18F" w14:textId="77777777" w:rsidR="0037324D" w:rsidRPr="009F65AD" w:rsidRDefault="0037324D" w:rsidP="0037324D">
      <w:pPr>
        <w:rPr>
          <w:rFonts w:ascii="Arial" w:hAnsi="Arial" w:cs="Arial"/>
          <w:b/>
          <w:color w:val="7030A0"/>
        </w:rPr>
      </w:pPr>
      <w:r>
        <w:rPr>
          <w:rFonts w:ascii="Arial" w:hAnsi="Arial" w:cs="Arial"/>
          <w:b/>
          <w:color w:val="7030A0"/>
        </w:rPr>
        <w:t xml:space="preserve">You can find further information </w:t>
      </w:r>
      <w:hyperlink r:id="rId9" w:history="1">
        <w:r w:rsidRPr="00DB6D6A">
          <w:rPr>
            <w:rStyle w:val="Hyperlink"/>
            <w:rFonts w:ascii="Arial" w:hAnsi="Arial" w:cs="Arial"/>
            <w:b/>
          </w:rPr>
          <w:t>here</w:t>
        </w:r>
      </w:hyperlink>
      <w:r>
        <w:rPr>
          <w:rFonts w:ascii="Arial" w:hAnsi="Arial" w:cs="Arial"/>
          <w:b/>
          <w:color w:val="7030A0"/>
        </w:rPr>
        <w:t>.</w:t>
      </w:r>
    </w:p>
    <w:p w14:paraId="6D87AD11" w14:textId="57B6BD4A" w:rsidR="0037324D" w:rsidRDefault="0037324D" w:rsidP="00CE1F1D">
      <w:pPr>
        <w:pStyle w:val="ListNumber2"/>
        <w:numPr>
          <w:ilvl w:val="0"/>
          <w:numId w:val="0"/>
        </w:numPr>
        <w:rPr>
          <w:rFonts w:eastAsia="Arial"/>
          <w:i/>
        </w:rPr>
      </w:pPr>
    </w:p>
    <w:p w14:paraId="188892D5" w14:textId="77777777" w:rsidR="0037324D" w:rsidRDefault="0037324D" w:rsidP="00CE1F1D">
      <w:pPr>
        <w:pStyle w:val="ListNumber2"/>
        <w:numPr>
          <w:ilvl w:val="0"/>
          <w:numId w:val="0"/>
        </w:numPr>
        <w:rPr>
          <w:rFonts w:eastAsia="Arial"/>
          <w:i/>
        </w:rPr>
      </w:pPr>
    </w:p>
    <w:p w14:paraId="2DC2CDB9" w14:textId="2204D10B" w:rsidR="00E72D8E" w:rsidRPr="00E72D8E" w:rsidRDefault="00E72D8E" w:rsidP="00CE1F1D">
      <w:pPr>
        <w:pStyle w:val="ListNumber2"/>
        <w:numPr>
          <w:ilvl w:val="0"/>
          <w:numId w:val="0"/>
        </w:numPr>
        <w:rPr>
          <w:rFonts w:eastAsia="Arial"/>
          <w:b/>
          <w:bCs/>
          <w:iCs/>
        </w:rPr>
      </w:pPr>
      <w:r w:rsidRPr="00E72D8E">
        <w:rPr>
          <w:rFonts w:eastAsia="Arial"/>
          <w:b/>
          <w:bCs/>
          <w:iCs/>
        </w:rPr>
        <w:t>ANNEX A: Planned ROIF Budget Allocations per Region</w:t>
      </w:r>
    </w:p>
    <w:p w14:paraId="34DD608A" w14:textId="1487833F" w:rsidR="00CE1F1D" w:rsidRPr="003A42E5" w:rsidRDefault="00CE1F1D" w:rsidP="00CE1F1D">
      <w:pPr>
        <w:pStyle w:val="ListNumber2"/>
        <w:numPr>
          <w:ilvl w:val="0"/>
          <w:numId w:val="0"/>
        </w:numPr>
        <w:rPr>
          <w:rFonts w:eastAsia="Arial"/>
          <w:i/>
        </w:rPr>
      </w:pPr>
      <w:r>
        <w:rPr>
          <w:rFonts w:eastAsia="Arial"/>
          <w:i/>
        </w:rPr>
        <w:t>All figures x £1000</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2830"/>
        <w:gridCol w:w="1466"/>
        <w:gridCol w:w="1616"/>
        <w:gridCol w:w="1356"/>
        <w:gridCol w:w="1374"/>
      </w:tblGrid>
      <w:tr w:rsidR="00CE1F1D" w:rsidRPr="00E560C7" w14:paraId="0B2B62EB" w14:textId="77777777" w:rsidTr="00A17EE8">
        <w:trPr>
          <w:trHeight w:val="300"/>
        </w:trPr>
        <w:tc>
          <w:tcPr>
            <w:tcW w:w="2830" w:type="dxa"/>
            <w:noWrap/>
            <w:vAlign w:val="center"/>
            <w:hideMark/>
          </w:tcPr>
          <w:p w14:paraId="2BCD510C" w14:textId="77777777" w:rsidR="00CE1F1D" w:rsidRPr="00E560C7" w:rsidRDefault="00CE1F1D" w:rsidP="00A17EE8">
            <w:pPr>
              <w:spacing w:line="264" w:lineRule="auto"/>
              <w:ind w:left="360"/>
              <w:jc w:val="both"/>
              <w:rPr>
                <w:color w:val="000000" w:themeColor="text1"/>
              </w:rPr>
            </w:pPr>
          </w:p>
        </w:tc>
        <w:tc>
          <w:tcPr>
            <w:tcW w:w="1466" w:type="dxa"/>
            <w:noWrap/>
            <w:vAlign w:val="center"/>
            <w:hideMark/>
          </w:tcPr>
          <w:p w14:paraId="7EAAF4B3" w14:textId="77777777" w:rsidR="00CE1F1D" w:rsidRPr="00E560C7" w:rsidRDefault="00CE1F1D" w:rsidP="00A17EE8">
            <w:pPr>
              <w:spacing w:line="264" w:lineRule="auto"/>
              <w:ind w:left="360"/>
              <w:jc w:val="both"/>
              <w:rPr>
                <w:b/>
                <w:bCs/>
                <w:color w:val="000000" w:themeColor="text1"/>
              </w:rPr>
            </w:pPr>
            <w:r w:rsidRPr="00E560C7">
              <w:rPr>
                <w:b/>
                <w:bCs/>
                <w:color w:val="000000" w:themeColor="text1"/>
              </w:rPr>
              <w:t>2020-21</w:t>
            </w:r>
          </w:p>
        </w:tc>
        <w:tc>
          <w:tcPr>
            <w:tcW w:w="1616" w:type="dxa"/>
            <w:noWrap/>
            <w:vAlign w:val="center"/>
            <w:hideMark/>
          </w:tcPr>
          <w:p w14:paraId="7F7A71D5" w14:textId="77777777" w:rsidR="00CE1F1D" w:rsidRPr="00E560C7" w:rsidRDefault="00CE1F1D" w:rsidP="00A17EE8">
            <w:pPr>
              <w:spacing w:line="264" w:lineRule="auto"/>
              <w:ind w:left="360"/>
              <w:jc w:val="both"/>
              <w:rPr>
                <w:b/>
                <w:bCs/>
                <w:color w:val="000000" w:themeColor="text1"/>
              </w:rPr>
            </w:pPr>
            <w:r w:rsidRPr="00E560C7">
              <w:rPr>
                <w:b/>
                <w:bCs/>
                <w:color w:val="000000" w:themeColor="text1"/>
              </w:rPr>
              <w:t>2021-22</w:t>
            </w:r>
          </w:p>
        </w:tc>
        <w:tc>
          <w:tcPr>
            <w:tcW w:w="1356" w:type="dxa"/>
            <w:noWrap/>
            <w:vAlign w:val="center"/>
            <w:hideMark/>
          </w:tcPr>
          <w:p w14:paraId="176DED7F" w14:textId="77777777" w:rsidR="00CE1F1D" w:rsidRPr="00E560C7" w:rsidRDefault="00CE1F1D" w:rsidP="00A17EE8">
            <w:pPr>
              <w:spacing w:line="264" w:lineRule="auto"/>
              <w:ind w:left="360"/>
              <w:jc w:val="both"/>
              <w:rPr>
                <w:b/>
                <w:bCs/>
                <w:color w:val="000000" w:themeColor="text1"/>
              </w:rPr>
            </w:pPr>
            <w:r w:rsidRPr="00E560C7">
              <w:rPr>
                <w:b/>
                <w:bCs/>
                <w:color w:val="000000" w:themeColor="text1"/>
              </w:rPr>
              <w:t>2022-23</w:t>
            </w:r>
          </w:p>
        </w:tc>
        <w:tc>
          <w:tcPr>
            <w:tcW w:w="1374" w:type="dxa"/>
            <w:noWrap/>
            <w:vAlign w:val="center"/>
            <w:hideMark/>
          </w:tcPr>
          <w:p w14:paraId="6F3CD103" w14:textId="77777777" w:rsidR="00CE1F1D" w:rsidRPr="00F85E07" w:rsidRDefault="00CE1F1D" w:rsidP="00A17EE8">
            <w:pPr>
              <w:spacing w:line="264" w:lineRule="auto"/>
              <w:ind w:left="360"/>
              <w:jc w:val="both"/>
              <w:rPr>
                <w:b/>
                <w:bCs/>
                <w:color w:val="000000" w:themeColor="text1"/>
              </w:rPr>
            </w:pPr>
            <w:r w:rsidRPr="00F85E07">
              <w:rPr>
                <w:b/>
                <w:bCs/>
                <w:color w:val="000000" w:themeColor="text1"/>
              </w:rPr>
              <w:t>2023-24 onwards</w:t>
            </w:r>
          </w:p>
        </w:tc>
      </w:tr>
      <w:tr w:rsidR="00CE1F1D" w:rsidRPr="00E560C7" w14:paraId="30E62ACA" w14:textId="77777777" w:rsidTr="00A17EE8">
        <w:trPr>
          <w:trHeight w:val="300"/>
        </w:trPr>
        <w:tc>
          <w:tcPr>
            <w:tcW w:w="2830" w:type="dxa"/>
            <w:noWrap/>
            <w:vAlign w:val="center"/>
            <w:hideMark/>
          </w:tcPr>
          <w:p w14:paraId="1A7E8A8B" w14:textId="77777777" w:rsidR="00CE1F1D" w:rsidRPr="00E560C7" w:rsidRDefault="00CE1F1D" w:rsidP="00A17EE8">
            <w:pPr>
              <w:spacing w:line="264" w:lineRule="auto"/>
              <w:ind w:left="360"/>
              <w:jc w:val="both"/>
              <w:rPr>
                <w:color w:val="000000" w:themeColor="text1"/>
              </w:rPr>
            </w:pPr>
            <w:r w:rsidRPr="00E560C7">
              <w:rPr>
                <w:color w:val="000000" w:themeColor="text1"/>
              </w:rPr>
              <w:t>East Midlands</w:t>
            </w:r>
          </w:p>
        </w:tc>
        <w:tc>
          <w:tcPr>
            <w:tcW w:w="1466" w:type="dxa"/>
            <w:noWrap/>
            <w:vAlign w:val="center"/>
            <w:hideMark/>
          </w:tcPr>
          <w:p w14:paraId="0395C0AE"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230D7FF2" w14:textId="77777777" w:rsidR="00CE1F1D" w:rsidRPr="00E560C7" w:rsidRDefault="00CE1F1D" w:rsidP="00A17EE8">
            <w:pPr>
              <w:spacing w:line="264" w:lineRule="auto"/>
              <w:ind w:left="360"/>
              <w:jc w:val="both"/>
              <w:rPr>
                <w:color w:val="000000" w:themeColor="text1"/>
              </w:rPr>
            </w:pPr>
            <w:r w:rsidRPr="00E560C7">
              <w:rPr>
                <w:color w:val="000000" w:themeColor="text1"/>
              </w:rPr>
              <w:t>384</w:t>
            </w:r>
          </w:p>
        </w:tc>
        <w:tc>
          <w:tcPr>
            <w:tcW w:w="1356" w:type="dxa"/>
            <w:noWrap/>
            <w:vAlign w:val="center"/>
            <w:hideMark/>
          </w:tcPr>
          <w:p w14:paraId="57F22B3F" w14:textId="77777777" w:rsidR="00CE1F1D" w:rsidRPr="00E560C7" w:rsidRDefault="00CE1F1D" w:rsidP="00A17EE8">
            <w:pPr>
              <w:spacing w:line="264" w:lineRule="auto"/>
              <w:ind w:left="360"/>
              <w:jc w:val="both"/>
              <w:rPr>
                <w:color w:val="000000" w:themeColor="text1"/>
              </w:rPr>
            </w:pPr>
            <w:r w:rsidRPr="00E560C7">
              <w:rPr>
                <w:color w:val="000000" w:themeColor="text1"/>
              </w:rPr>
              <w:t>585</w:t>
            </w:r>
          </w:p>
        </w:tc>
        <w:tc>
          <w:tcPr>
            <w:tcW w:w="1374" w:type="dxa"/>
            <w:noWrap/>
            <w:vAlign w:val="center"/>
            <w:hideMark/>
          </w:tcPr>
          <w:p w14:paraId="007202E8" w14:textId="77777777" w:rsidR="00CE1F1D" w:rsidRPr="00E560C7" w:rsidRDefault="00CE1F1D" w:rsidP="00A17EE8">
            <w:pPr>
              <w:spacing w:line="264" w:lineRule="auto"/>
              <w:ind w:left="360"/>
              <w:jc w:val="both"/>
              <w:rPr>
                <w:color w:val="000000" w:themeColor="text1"/>
              </w:rPr>
            </w:pPr>
            <w:r w:rsidRPr="00E560C7">
              <w:rPr>
                <w:color w:val="000000" w:themeColor="text1"/>
              </w:rPr>
              <w:t>1341</w:t>
            </w:r>
          </w:p>
        </w:tc>
      </w:tr>
      <w:tr w:rsidR="00CE1F1D" w:rsidRPr="00E560C7" w14:paraId="2F6CD8F8" w14:textId="77777777" w:rsidTr="00A17EE8">
        <w:trPr>
          <w:trHeight w:val="300"/>
        </w:trPr>
        <w:tc>
          <w:tcPr>
            <w:tcW w:w="2830" w:type="dxa"/>
            <w:noWrap/>
            <w:vAlign w:val="center"/>
            <w:hideMark/>
          </w:tcPr>
          <w:p w14:paraId="09045D2E" w14:textId="77777777" w:rsidR="00CE1F1D" w:rsidRPr="00E560C7" w:rsidRDefault="00CE1F1D" w:rsidP="00A17EE8">
            <w:pPr>
              <w:spacing w:line="264" w:lineRule="auto"/>
              <w:ind w:left="360"/>
              <w:jc w:val="both"/>
              <w:rPr>
                <w:color w:val="000000" w:themeColor="text1"/>
              </w:rPr>
            </w:pPr>
            <w:r w:rsidRPr="00E560C7">
              <w:rPr>
                <w:color w:val="000000" w:themeColor="text1"/>
              </w:rPr>
              <w:t>East of England</w:t>
            </w:r>
          </w:p>
        </w:tc>
        <w:tc>
          <w:tcPr>
            <w:tcW w:w="1466" w:type="dxa"/>
            <w:noWrap/>
            <w:vAlign w:val="center"/>
            <w:hideMark/>
          </w:tcPr>
          <w:p w14:paraId="07776BDE"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0B71DDAF" w14:textId="77777777" w:rsidR="00CE1F1D" w:rsidRPr="00E560C7" w:rsidRDefault="00CE1F1D" w:rsidP="00A17EE8">
            <w:pPr>
              <w:spacing w:line="264" w:lineRule="auto"/>
              <w:ind w:left="360"/>
              <w:jc w:val="both"/>
              <w:rPr>
                <w:color w:val="000000" w:themeColor="text1"/>
              </w:rPr>
            </w:pPr>
            <w:r w:rsidRPr="00E560C7">
              <w:rPr>
                <w:color w:val="000000" w:themeColor="text1"/>
              </w:rPr>
              <w:t>439</w:t>
            </w:r>
          </w:p>
        </w:tc>
        <w:tc>
          <w:tcPr>
            <w:tcW w:w="1356" w:type="dxa"/>
            <w:noWrap/>
            <w:vAlign w:val="center"/>
            <w:hideMark/>
          </w:tcPr>
          <w:p w14:paraId="2A523CFC" w14:textId="77777777" w:rsidR="00CE1F1D" w:rsidRPr="00E560C7" w:rsidRDefault="00CE1F1D" w:rsidP="00A17EE8">
            <w:pPr>
              <w:spacing w:line="264" w:lineRule="auto"/>
              <w:ind w:left="360"/>
              <w:jc w:val="both"/>
              <w:rPr>
                <w:color w:val="000000" w:themeColor="text1"/>
              </w:rPr>
            </w:pPr>
            <w:r w:rsidRPr="00E560C7">
              <w:rPr>
                <w:color w:val="000000" w:themeColor="text1"/>
              </w:rPr>
              <w:t>723</w:t>
            </w:r>
          </w:p>
        </w:tc>
        <w:tc>
          <w:tcPr>
            <w:tcW w:w="1374" w:type="dxa"/>
            <w:noWrap/>
            <w:vAlign w:val="center"/>
            <w:hideMark/>
          </w:tcPr>
          <w:p w14:paraId="2FFA466F" w14:textId="77777777" w:rsidR="00CE1F1D" w:rsidRPr="00E560C7" w:rsidRDefault="00CE1F1D" w:rsidP="00A17EE8">
            <w:pPr>
              <w:spacing w:line="264" w:lineRule="auto"/>
              <w:ind w:left="360"/>
              <w:jc w:val="both"/>
              <w:rPr>
                <w:color w:val="000000" w:themeColor="text1"/>
              </w:rPr>
            </w:pPr>
            <w:r w:rsidRPr="00E560C7">
              <w:rPr>
                <w:color w:val="000000" w:themeColor="text1"/>
              </w:rPr>
              <w:t>1892</w:t>
            </w:r>
          </w:p>
        </w:tc>
      </w:tr>
      <w:tr w:rsidR="00CE1F1D" w:rsidRPr="00E560C7" w14:paraId="5615EB00" w14:textId="77777777" w:rsidTr="00A17EE8">
        <w:trPr>
          <w:trHeight w:val="300"/>
        </w:trPr>
        <w:tc>
          <w:tcPr>
            <w:tcW w:w="2830" w:type="dxa"/>
            <w:noWrap/>
            <w:vAlign w:val="center"/>
            <w:hideMark/>
          </w:tcPr>
          <w:p w14:paraId="7DCC6C9B" w14:textId="77777777" w:rsidR="00CE1F1D" w:rsidRPr="00E560C7" w:rsidRDefault="00CE1F1D" w:rsidP="00A17EE8">
            <w:pPr>
              <w:spacing w:line="264" w:lineRule="auto"/>
              <w:ind w:left="360"/>
              <w:jc w:val="both"/>
              <w:rPr>
                <w:color w:val="000000" w:themeColor="text1"/>
              </w:rPr>
            </w:pPr>
            <w:r w:rsidRPr="00E560C7">
              <w:rPr>
                <w:color w:val="000000" w:themeColor="text1"/>
              </w:rPr>
              <w:t>Greater Manchester</w:t>
            </w:r>
          </w:p>
        </w:tc>
        <w:tc>
          <w:tcPr>
            <w:tcW w:w="1466" w:type="dxa"/>
            <w:noWrap/>
            <w:vAlign w:val="center"/>
            <w:hideMark/>
          </w:tcPr>
          <w:p w14:paraId="266F7BF2"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1DF2B7ED" w14:textId="77777777" w:rsidR="00CE1F1D" w:rsidRPr="00E560C7" w:rsidRDefault="00CE1F1D" w:rsidP="00A17EE8">
            <w:pPr>
              <w:spacing w:line="264" w:lineRule="auto"/>
              <w:ind w:left="360"/>
              <w:jc w:val="both"/>
              <w:rPr>
                <w:color w:val="000000" w:themeColor="text1"/>
              </w:rPr>
            </w:pPr>
            <w:r w:rsidRPr="00E560C7">
              <w:rPr>
                <w:color w:val="000000" w:themeColor="text1"/>
              </w:rPr>
              <w:t>362</w:t>
            </w:r>
          </w:p>
        </w:tc>
        <w:tc>
          <w:tcPr>
            <w:tcW w:w="1356" w:type="dxa"/>
            <w:noWrap/>
            <w:vAlign w:val="center"/>
            <w:hideMark/>
          </w:tcPr>
          <w:p w14:paraId="0386BDBE" w14:textId="77777777" w:rsidR="00CE1F1D" w:rsidRPr="00E560C7" w:rsidRDefault="00CE1F1D" w:rsidP="00A17EE8">
            <w:pPr>
              <w:spacing w:line="264" w:lineRule="auto"/>
              <w:ind w:left="360"/>
              <w:jc w:val="both"/>
              <w:rPr>
                <w:color w:val="000000" w:themeColor="text1"/>
              </w:rPr>
            </w:pPr>
            <w:r w:rsidRPr="00E560C7">
              <w:rPr>
                <w:color w:val="000000" w:themeColor="text1"/>
              </w:rPr>
              <w:t>531</w:t>
            </w:r>
          </w:p>
        </w:tc>
        <w:tc>
          <w:tcPr>
            <w:tcW w:w="1374" w:type="dxa"/>
            <w:noWrap/>
            <w:vAlign w:val="center"/>
            <w:hideMark/>
          </w:tcPr>
          <w:p w14:paraId="6329CFCE" w14:textId="77777777" w:rsidR="00CE1F1D" w:rsidRPr="00E560C7" w:rsidRDefault="00CE1F1D" w:rsidP="00A17EE8">
            <w:pPr>
              <w:spacing w:line="264" w:lineRule="auto"/>
              <w:ind w:left="360"/>
              <w:jc w:val="both"/>
              <w:rPr>
                <w:color w:val="000000" w:themeColor="text1"/>
              </w:rPr>
            </w:pPr>
            <w:r w:rsidRPr="00E560C7">
              <w:rPr>
                <w:color w:val="000000" w:themeColor="text1"/>
              </w:rPr>
              <w:t>1122</w:t>
            </w:r>
          </w:p>
        </w:tc>
      </w:tr>
      <w:tr w:rsidR="00CE1F1D" w:rsidRPr="00E560C7" w14:paraId="4AE044A5" w14:textId="77777777" w:rsidTr="00A17EE8">
        <w:trPr>
          <w:trHeight w:val="300"/>
        </w:trPr>
        <w:tc>
          <w:tcPr>
            <w:tcW w:w="2830" w:type="dxa"/>
            <w:noWrap/>
            <w:vAlign w:val="center"/>
            <w:hideMark/>
          </w:tcPr>
          <w:p w14:paraId="21E53EB0" w14:textId="77777777" w:rsidR="00CE1F1D" w:rsidRPr="00E560C7" w:rsidRDefault="00CE1F1D" w:rsidP="00A17EE8">
            <w:pPr>
              <w:spacing w:line="264" w:lineRule="auto"/>
              <w:ind w:left="360"/>
              <w:jc w:val="both"/>
              <w:rPr>
                <w:color w:val="000000" w:themeColor="text1"/>
              </w:rPr>
            </w:pPr>
            <w:r w:rsidRPr="00E560C7">
              <w:rPr>
                <w:color w:val="000000" w:themeColor="text1"/>
              </w:rPr>
              <w:t>Kent, Surrey &amp; Sussex</w:t>
            </w:r>
          </w:p>
        </w:tc>
        <w:tc>
          <w:tcPr>
            <w:tcW w:w="1466" w:type="dxa"/>
            <w:noWrap/>
            <w:vAlign w:val="center"/>
            <w:hideMark/>
          </w:tcPr>
          <w:p w14:paraId="72A297B0"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62A22C27" w14:textId="77777777" w:rsidR="00CE1F1D" w:rsidRPr="00E560C7" w:rsidRDefault="00CE1F1D" w:rsidP="00A17EE8">
            <w:pPr>
              <w:spacing w:line="264" w:lineRule="auto"/>
              <w:ind w:left="360"/>
              <w:jc w:val="both"/>
              <w:rPr>
                <w:color w:val="000000" w:themeColor="text1"/>
              </w:rPr>
            </w:pPr>
            <w:r w:rsidRPr="00E560C7">
              <w:rPr>
                <w:color w:val="000000" w:themeColor="text1"/>
              </w:rPr>
              <w:t>361</w:t>
            </w:r>
          </w:p>
        </w:tc>
        <w:tc>
          <w:tcPr>
            <w:tcW w:w="1356" w:type="dxa"/>
            <w:noWrap/>
            <w:vAlign w:val="center"/>
            <w:hideMark/>
          </w:tcPr>
          <w:p w14:paraId="0284BFB2" w14:textId="77777777" w:rsidR="00CE1F1D" w:rsidRPr="00E560C7" w:rsidRDefault="00CE1F1D" w:rsidP="00A17EE8">
            <w:pPr>
              <w:spacing w:line="264" w:lineRule="auto"/>
              <w:ind w:left="360"/>
              <w:jc w:val="both"/>
              <w:rPr>
                <w:color w:val="000000" w:themeColor="text1"/>
              </w:rPr>
            </w:pPr>
            <w:r w:rsidRPr="00E560C7">
              <w:rPr>
                <w:color w:val="000000" w:themeColor="text1"/>
              </w:rPr>
              <w:t>528</w:t>
            </w:r>
          </w:p>
        </w:tc>
        <w:tc>
          <w:tcPr>
            <w:tcW w:w="1374" w:type="dxa"/>
            <w:noWrap/>
            <w:vAlign w:val="center"/>
            <w:hideMark/>
          </w:tcPr>
          <w:p w14:paraId="39BAB5E1" w14:textId="77777777" w:rsidR="00CE1F1D" w:rsidRPr="00E560C7" w:rsidRDefault="00CE1F1D" w:rsidP="00A17EE8">
            <w:pPr>
              <w:spacing w:line="264" w:lineRule="auto"/>
              <w:ind w:left="360"/>
              <w:jc w:val="both"/>
              <w:rPr>
                <w:color w:val="000000" w:themeColor="text1"/>
              </w:rPr>
            </w:pPr>
            <w:r w:rsidRPr="00E560C7">
              <w:rPr>
                <w:color w:val="000000" w:themeColor="text1"/>
              </w:rPr>
              <w:t>1113</w:t>
            </w:r>
          </w:p>
        </w:tc>
      </w:tr>
      <w:tr w:rsidR="00CE1F1D" w:rsidRPr="00E560C7" w14:paraId="7B45F83E" w14:textId="77777777" w:rsidTr="00A17EE8">
        <w:trPr>
          <w:trHeight w:val="300"/>
        </w:trPr>
        <w:tc>
          <w:tcPr>
            <w:tcW w:w="2830" w:type="dxa"/>
            <w:noWrap/>
            <w:vAlign w:val="center"/>
            <w:hideMark/>
          </w:tcPr>
          <w:p w14:paraId="18B6387F" w14:textId="77777777" w:rsidR="00CE1F1D" w:rsidRPr="00E560C7" w:rsidRDefault="00CE1F1D" w:rsidP="00A17EE8">
            <w:pPr>
              <w:spacing w:line="264" w:lineRule="auto"/>
              <w:ind w:left="360"/>
              <w:jc w:val="both"/>
              <w:rPr>
                <w:color w:val="000000" w:themeColor="text1"/>
              </w:rPr>
            </w:pPr>
            <w:r w:rsidRPr="00E560C7">
              <w:rPr>
                <w:color w:val="000000" w:themeColor="text1"/>
              </w:rPr>
              <w:t>London</w:t>
            </w:r>
          </w:p>
        </w:tc>
        <w:tc>
          <w:tcPr>
            <w:tcW w:w="1466" w:type="dxa"/>
            <w:noWrap/>
            <w:vAlign w:val="center"/>
            <w:hideMark/>
          </w:tcPr>
          <w:p w14:paraId="21A22FB6"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660D2F35" w14:textId="77777777" w:rsidR="00CE1F1D" w:rsidRPr="00E560C7" w:rsidRDefault="00CE1F1D" w:rsidP="00A17EE8">
            <w:pPr>
              <w:spacing w:line="264" w:lineRule="auto"/>
              <w:ind w:left="360"/>
              <w:jc w:val="both"/>
              <w:rPr>
                <w:color w:val="000000" w:themeColor="text1"/>
              </w:rPr>
            </w:pPr>
            <w:r w:rsidRPr="00E560C7">
              <w:rPr>
                <w:color w:val="000000" w:themeColor="text1"/>
              </w:rPr>
              <w:t>584</w:t>
            </w:r>
          </w:p>
        </w:tc>
        <w:tc>
          <w:tcPr>
            <w:tcW w:w="1356" w:type="dxa"/>
            <w:noWrap/>
            <w:vAlign w:val="center"/>
            <w:hideMark/>
          </w:tcPr>
          <w:p w14:paraId="22D8F925" w14:textId="77777777" w:rsidR="00CE1F1D" w:rsidRPr="00E560C7" w:rsidRDefault="00CE1F1D" w:rsidP="00A17EE8">
            <w:pPr>
              <w:spacing w:line="264" w:lineRule="auto"/>
              <w:ind w:left="360"/>
              <w:jc w:val="both"/>
              <w:rPr>
                <w:color w:val="000000" w:themeColor="text1"/>
              </w:rPr>
            </w:pPr>
            <w:r w:rsidRPr="00E560C7">
              <w:rPr>
                <w:color w:val="000000" w:themeColor="text1"/>
              </w:rPr>
              <w:t>1086</w:t>
            </w:r>
          </w:p>
        </w:tc>
        <w:tc>
          <w:tcPr>
            <w:tcW w:w="1374" w:type="dxa"/>
            <w:noWrap/>
            <w:vAlign w:val="center"/>
            <w:hideMark/>
          </w:tcPr>
          <w:p w14:paraId="78DAC1B3" w14:textId="77777777" w:rsidR="00CE1F1D" w:rsidRPr="00E560C7" w:rsidRDefault="00CE1F1D" w:rsidP="00A17EE8">
            <w:pPr>
              <w:spacing w:line="264" w:lineRule="auto"/>
              <w:ind w:left="360"/>
              <w:jc w:val="both"/>
              <w:rPr>
                <w:color w:val="000000" w:themeColor="text1"/>
              </w:rPr>
            </w:pPr>
            <w:r w:rsidRPr="00E560C7">
              <w:rPr>
                <w:color w:val="000000" w:themeColor="text1"/>
              </w:rPr>
              <w:t>3344</w:t>
            </w:r>
          </w:p>
        </w:tc>
      </w:tr>
      <w:tr w:rsidR="00CE1F1D" w:rsidRPr="00E560C7" w14:paraId="64981BB7" w14:textId="77777777" w:rsidTr="00A17EE8">
        <w:trPr>
          <w:trHeight w:val="300"/>
        </w:trPr>
        <w:tc>
          <w:tcPr>
            <w:tcW w:w="2830" w:type="dxa"/>
            <w:noWrap/>
            <w:vAlign w:val="center"/>
            <w:hideMark/>
          </w:tcPr>
          <w:p w14:paraId="46516B6B" w14:textId="77777777" w:rsidR="00CE1F1D" w:rsidRPr="00E560C7" w:rsidRDefault="00CE1F1D" w:rsidP="00A17EE8">
            <w:pPr>
              <w:spacing w:line="264" w:lineRule="auto"/>
              <w:ind w:left="360"/>
              <w:jc w:val="both"/>
              <w:rPr>
                <w:color w:val="000000" w:themeColor="text1"/>
              </w:rPr>
            </w:pPr>
            <w:r w:rsidRPr="00E560C7">
              <w:rPr>
                <w:color w:val="000000" w:themeColor="text1"/>
              </w:rPr>
              <w:t>North East</w:t>
            </w:r>
          </w:p>
        </w:tc>
        <w:tc>
          <w:tcPr>
            <w:tcW w:w="1466" w:type="dxa"/>
            <w:noWrap/>
            <w:vAlign w:val="center"/>
            <w:hideMark/>
          </w:tcPr>
          <w:p w14:paraId="3C92BC51"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644F3E19" w14:textId="77777777" w:rsidR="00CE1F1D" w:rsidRPr="00E560C7" w:rsidRDefault="00CE1F1D" w:rsidP="00A17EE8">
            <w:pPr>
              <w:spacing w:line="264" w:lineRule="auto"/>
              <w:ind w:left="360"/>
              <w:jc w:val="both"/>
              <w:rPr>
                <w:color w:val="000000" w:themeColor="text1"/>
              </w:rPr>
            </w:pPr>
            <w:r w:rsidRPr="00E560C7">
              <w:rPr>
                <w:color w:val="000000" w:themeColor="text1"/>
              </w:rPr>
              <w:t>362</w:t>
            </w:r>
          </w:p>
        </w:tc>
        <w:tc>
          <w:tcPr>
            <w:tcW w:w="1356" w:type="dxa"/>
            <w:noWrap/>
            <w:vAlign w:val="center"/>
            <w:hideMark/>
          </w:tcPr>
          <w:p w14:paraId="4F0E3AA5" w14:textId="77777777" w:rsidR="00CE1F1D" w:rsidRPr="00E560C7" w:rsidRDefault="00CE1F1D" w:rsidP="00A17EE8">
            <w:pPr>
              <w:spacing w:line="264" w:lineRule="auto"/>
              <w:ind w:left="360"/>
              <w:jc w:val="both"/>
              <w:rPr>
                <w:color w:val="000000" w:themeColor="text1"/>
              </w:rPr>
            </w:pPr>
            <w:r w:rsidRPr="00E560C7">
              <w:rPr>
                <w:color w:val="000000" w:themeColor="text1"/>
              </w:rPr>
              <w:t>529</w:t>
            </w:r>
          </w:p>
        </w:tc>
        <w:tc>
          <w:tcPr>
            <w:tcW w:w="1374" w:type="dxa"/>
            <w:noWrap/>
            <w:vAlign w:val="center"/>
            <w:hideMark/>
          </w:tcPr>
          <w:p w14:paraId="6FECA58E" w14:textId="77777777" w:rsidR="00CE1F1D" w:rsidRPr="00E560C7" w:rsidRDefault="00CE1F1D" w:rsidP="00A17EE8">
            <w:pPr>
              <w:spacing w:line="264" w:lineRule="auto"/>
              <w:ind w:left="360"/>
              <w:jc w:val="both"/>
              <w:rPr>
                <w:color w:val="000000" w:themeColor="text1"/>
              </w:rPr>
            </w:pPr>
            <w:r w:rsidRPr="00E560C7">
              <w:rPr>
                <w:color w:val="000000" w:themeColor="text1"/>
              </w:rPr>
              <w:t>1118</w:t>
            </w:r>
          </w:p>
        </w:tc>
      </w:tr>
      <w:tr w:rsidR="00CE1F1D" w:rsidRPr="00E560C7" w14:paraId="62B9BAF3" w14:textId="77777777" w:rsidTr="00A17EE8">
        <w:trPr>
          <w:trHeight w:val="300"/>
        </w:trPr>
        <w:tc>
          <w:tcPr>
            <w:tcW w:w="2830" w:type="dxa"/>
            <w:noWrap/>
            <w:vAlign w:val="center"/>
            <w:hideMark/>
          </w:tcPr>
          <w:p w14:paraId="3A6C214F" w14:textId="77777777" w:rsidR="00CE1F1D" w:rsidRPr="00E560C7" w:rsidRDefault="00CE1F1D" w:rsidP="00A17EE8">
            <w:pPr>
              <w:spacing w:line="264" w:lineRule="auto"/>
              <w:ind w:left="360"/>
              <w:jc w:val="both"/>
              <w:rPr>
                <w:color w:val="000000" w:themeColor="text1"/>
              </w:rPr>
            </w:pPr>
            <w:r w:rsidRPr="00E560C7">
              <w:rPr>
                <w:color w:val="000000" w:themeColor="text1"/>
              </w:rPr>
              <w:t>North West</w:t>
            </w:r>
          </w:p>
        </w:tc>
        <w:tc>
          <w:tcPr>
            <w:tcW w:w="1466" w:type="dxa"/>
            <w:noWrap/>
            <w:vAlign w:val="center"/>
            <w:hideMark/>
          </w:tcPr>
          <w:p w14:paraId="6146A7C4"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6E9F02C3" w14:textId="77777777" w:rsidR="00CE1F1D" w:rsidRPr="00E560C7" w:rsidRDefault="00CE1F1D" w:rsidP="00A17EE8">
            <w:pPr>
              <w:spacing w:line="264" w:lineRule="auto"/>
              <w:ind w:left="360"/>
              <w:jc w:val="both"/>
              <w:rPr>
                <w:color w:val="000000" w:themeColor="text1"/>
              </w:rPr>
            </w:pPr>
            <w:r w:rsidRPr="00E560C7">
              <w:rPr>
                <w:color w:val="000000" w:themeColor="text1"/>
              </w:rPr>
              <w:t>429</w:t>
            </w:r>
          </w:p>
        </w:tc>
        <w:tc>
          <w:tcPr>
            <w:tcW w:w="1356" w:type="dxa"/>
            <w:noWrap/>
            <w:vAlign w:val="center"/>
            <w:hideMark/>
          </w:tcPr>
          <w:p w14:paraId="6539D6A4" w14:textId="77777777" w:rsidR="00CE1F1D" w:rsidRPr="00E560C7" w:rsidRDefault="00CE1F1D" w:rsidP="00A17EE8">
            <w:pPr>
              <w:spacing w:line="264" w:lineRule="auto"/>
              <w:ind w:left="360"/>
              <w:jc w:val="both"/>
              <w:rPr>
                <w:color w:val="000000" w:themeColor="text1"/>
              </w:rPr>
            </w:pPr>
            <w:r w:rsidRPr="00E560C7">
              <w:rPr>
                <w:color w:val="000000" w:themeColor="text1"/>
              </w:rPr>
              <w:t>697</w:t>
            </w:r>
          </w:p>
        </w:tc>
        <w:tc>
          <w:tcPr>
            <w:tcW w:w="1374" w:type="dxa"/>
            <w:noWrap/>
            <w:vAlign w:val="center"/>
            <w:hideMark/>
          </w:tcPr>
          <w:p w14:paraId="76EC4FAE" w14:textId="77777777" w:rsidR="00CE1F1D" w:rsidRPr="00E560C7" w:rsidRDefault="00CE1F1D" w:rsidP="00A17EE8">
            <w:pPr>
              <w:spacing w:line="264" w:lineRule="auto"/>
              <w:ind w:left="360"/>
              <w:jc w:val="both"/>
              <w:rPr>
                <w:color w:val="000000" w:themeColor="text1"/>
              </w:rPr>
            </w:pPr>
            <w:r w:rsidRPr="00E560C7">
              <w:rPr>
                <w:color w:val="000000" w:themeColor="text1"/>
              </w:rPr>
              <w:t>1790</w:t>
            </w:r>
          </w:p>
        </w:tc>
      </w:tr>
      <w:tr w:rsidR="00CE1F1D" w:rsidRPr="00E560C7" w14:paraId="4FA536DA" w14:textId="77777777" w:rsidTr="00A17EE8">
        <w:trPr>
          <w:trHeight w:val="300"/>
        </w:trPr>
        <w:tc>
          <w:tcPr>
            <w:tcW w:w="2830" w:type="dxa"/>
            <w:noWrap/>
            <w:vAlign w:val="center"/>
            <w:hideMark/>
          </w:tcPr>
          <w:p w14:paraId="0A45D61F" w14:textId="77777777" w:rsidR="00CE1F1D" w:rsidRPr="00E560C7" w:rsidRDefault="00CE1F1D" w:rsidP="00A17EE8">
            <w:pPr>
              <w:spacing w:line="264" w:lineRule="auto"/>
              <w:ind w:left="360"/>
              <w:jc w:val="both"/>
              <w:rPr>
                <w:color w:val="000000" w:themeColor="text1"/>
              </w:rPr>
            </w:pPr>
            <w:r w:rsidRPr="00E560C7">
              <w:rPr>
                <w:color w:val="000000" w:themeColor="text1"/>
              </w:rPr>
              <w:t>South Central</w:t>
            </w:r>
          </w:p>
        </w:tc>
        <w:tc>
          <w:tcPr>
            <w:tcW w:w="1466" w:type="dxa"/>
            <w:noWrap/>
            <w:vAlign w:val="center"/>
            <w:hideMark/>
          </w:tcPr>
          <w:p w14:paraId="34340E92"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4C1FD06E" w14:textId="77777777" w:rsidR="00CE1F1D" w:rsidRPr="00E560C7" w:rsidRDefault="00CE1F1D" w:rsidP="00A17EE8">
            <w:pPr>
              <w:spacing w:line="264" w:lineRule="auto"/>
              <w:ind w:left="360"/>
              <w:jc w:val="both"/>
              <w:rPr>
                <w:color w:val="000000" w:themeColor="text1"/>
              </w:rPr>
            </w:pPr>
            <w:r w:rsidRPr="00E560C7">
              <w:rPr>
                <w:color w:val="000000" w:themeColor="text1"/>
              </w:rPr>
              <w:t>363</w:t>
            </w:r>
          </w:p>
        </w:tc>
        <w:tc>
          <w:tcPr>
            <w:tcW w:w="1356" w:type="dxa"/>
            <w:noWrap/>
            <w:vAlign w:val="center"/>
            <w:hideMark/>
          </w:tcPr>
          <w:p w14:paraId="7B8BDA2F" w14:textId="77777777" w:rsidR="00CE1F1D" w:rsidRPr="00E560C7" w:rsidRDefault="00CE1F1D" w:rsidP="00A17EE8">
            <w:pPr>
              <w:spacing w:line="264" w:lineRule="auto"/>
              <w:ind w:left="360"/>
              <w:jc w:val="both"/>
              <w:rPr>
                <w:color w:val="000000" w:themeColor="text1"/>
              </w:rPr>
            </w:pPr>
            <w:r w:rsidRPr="00E560C7">
              <w:rPr>
                <w:color w:val="000000" w:themeColor="text1"/>
              </w:rPr>
              <w:t>532</w:t>
            </w:r>
          </w:p>
        </w:tc>
        <w:tc>
          <w:tcPr>
            <w:tcW w:w="1374" w:type="dxa"/>
            <w:noWrap/>
            <w:vAlign w:val="center"/>
            <w:hideMark/>
          </w:tcPr>
          <w:p w14:paraId="3F3E2F31" w14:textId="77777777" w:rsidR="00CE1F1D" w:rsidRPr="00E560C7" w:rsidRDefault="00CE1F1D" w:rsidP="00A17EE8">
            <w:pPr>
              <w:spacing w:line="264" w:lineRule="auto"/>
              <w:ind w:left="360"/>
              <w:jc w:val="both"/>
              <w:rPr>
                <w:color w:val="000000" w:themeColor="text1"/>
              </w:rPr>
            </w:pPr>
            <w:r w:rsidRPr="00E560C7">
              <w:rPr>
                <w:color w:val="000000" w:themeColor="text1"/>
              </w:rPr>
              <w:t>1128</w:t>
            </w:r>
          </w:p>
        </w:tc>
      </w:tr>
      <w:tr w:rsidR="00CE1F1D" w:rsidRPr="00E560C7" w14:paraId="1D05DFD8" w14:textId="77777777" w:rsidTr="00A17EE8">
        <w:trPr>
          <w:trHeight w:val="300"/>
        </w:trPr>
        <w:tc>
          <w:tcPr>
            <w:tcW w:w="2830" w:type="dxa"/>
            <w:noWrap/>
            <w:vAlign w:val="center"/>
            <w:hideMark/>
          </w:tcPr>
          <w:p w14:paraId="1036310D" w14:textId="77777777" w:rsidR="00CE1F1D" w:rsidRPr="00E560C7" w:rsidRDefault="00CE1F1D" w:rsidP="00A17EE8">
            <w:pPr>
              <w:spacing w:line="264" w:lineRule="auto"/>
              <w:ind w:left="360"/>
              <w:jc w:val="both"/>
              <w:rPr>
                <w:color w:val="000000" w:themeColor="text1"/>
              </w:rPr>
            </w:pPr>
            <w:r w:rsidRPr="00E560C7">
              <w:rPr>
                <w:color w:val="000000" w:themeColor="text1"/>
              </w:rPr>
              <w:t>South West</w:t>
            </w:r>
          </w:p>
        </w:tc>
        <w:tc>
          <w:tcPr>
            <w:tcW w:w="1466" w:type="dxa"/>
            <w:noWrap/>
            <w:vAlign w:val="center"/>
            <w:hideMark/>
          </w:tcPr>
          <w:p w14:paraId="0A0469C3"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665A0D7E" w14:textId="77777777" w:rsidR="00CE1F1D" w:rsidRPr="00E560C7" w:rsidRDefault="00CE1F1D" w:rsidP="00A17EE8">
            <w:pPr>
              <w:spacing w:line="264" w:lineRule="auto"/>
              <w:ind w:left="360"/>
              <w:jc w:val="both"/>
              <w:rPr>
                <w:color w:val="000000" w:themeColor="text1"/>
              </w:rPr>
            </w:pPr>
            <w:r w:rsidRPr="00E560C7">
              <w:rPr>
                <w:color w:val="000000" w:themeColor="text1"/>
              </w:rPr>
              <w:t>395</w:t>
            </w:r>
          </w:p>
        </w:tc>
        <w:tc>
          <w:tcPr>
            <w:tcW w:w="1356" w:type="dxa"/>
            <w:noWrap/>
            <w:vAlign w:val="center"/>
            <w:hideMark/>
          </w:tcPr>
          <w:p w14:paraId="27C488B2" w14:textId="77777777" w:rsidR="00CE1F1D" w:rsidRPr="00E560C7" w:rsidRDefault="00CE1F1D" w:rsidP="00A17EE8">
            <w:pPr>
              <w:spacing w:line="264" w:lineRule="auto"/>
              <w:ind w:left="360"/>
              <w:jc w:val="both"/>
              <w:rPr>
                <w:color w:val="000000" w:themeColor="text1"/>
              </w:rPr>
            </w:pPr>
            <w:r w:rsidRPr="00E560C7">
              <w:rPr>
                <w:color w:val="000000" w:themeColor="text1"/>
              </w:rPr>
              <w:t>613</w:t>
            </w:r>
          </w:p>
        </w:tc>
        <w:tc>
          <w:tcPr>
            <w:tcW w:w="1374" w:type="dxa"/>
            <w:noWrap/>
            <w:vAlign w:val="center"/>
            <w:hideMark/>
          </w:tcPr>
          <w:p w14:paraId="39BCDA0C" w14:textId="77777777" w:rsidR="00CE1F1D" w:rsidRPr="00E560C7" w:rsidRDefault="00CE1F1D" w:rsidP="00A17EE8">
            <w:pPr>
              <w:spacing w:line="264" w:lineRule="auto"/>
              <w:ind w:left="360"/>
              <w:jc w:val="both"/>
              <w:rPr>
                <w:color w:val="000000" w:themeColor="text1"/>
              </w:rPr>
            </w:pPr>
            <w:r w:rsidRPr="00E560C7">
              <w:rPr>
                <w:color w:val="000000" w:themeColor="text1"/>
              </w:rPr>
              <w:t>1452</w:t>
            </w:r>
          </w:p>
        </w:tc>
      </w:tr>
      <w:tr w:rsidR="00CE1F1D" w:rsidRPr="00E560C7" w14:paraId="41D224FB" w14:textId="77777777" w:rsidTr="00A17EE8">
        <w:trPr>
          <w:trHeight w:val="300"/>
        </w:trPr>
        <w:tc>
          <w:tcPr>
            <w:tcW w:w="2830" w:type="dxa"/>
            <w:noWrap/>
            <w:vAlign w:val="center"/>
            <w:hideMark/>
          </w:tcPr>
          <w:p w14:paraId="05692103" w14:textId="77777777" w:rsidR="00CE1F1D" w:rsidRPr="00E560C7" w:rsidRDefault="00CE1F1D" w:rsidP="00A17EE8">
            <w:pPr>
              <w:spacing w:line="264" w:lineRule="auto"/>
              <w:ind w:left="360"/>
              <w:jc w:val="both"/>
              <w:rPr>
                <w:color w:val="000000" w:themeColor="text1"/>
              </w:rPr>
            </w:pPr>
            <w:r w:rsidRPr="00E560C7">
              <w:rPr>
                <w:color w:val="000000" w:themeColor="text1"/>
              </w:rPr>
              <w:t>Wales</w:t>
            </w:r>
          </w:p>
        </w:tc>
        <w:tc>
          <w:tcPr>
            <w:tcW w:w="1466" w:type="dxa"/>
            <w:noWrap/>
            <w:vAlign w:val="center"/>
            <w:hideMark/>
          </w:tcPr>
          <w:p w14:paraId="2D2424C4"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5EA34147" w14:textId="77777777" w:rsidR="00CE1F1D" w:rsidRPr="00E560C7" w:rsidRDefault="00CE1F1D" w:rsidP="00A17EE8">
            <w:pPr>
              <w:spacing w:line="264" w:lineRule="auto"/>
              <w:ind w:left="360"/>
              <w:jc w:val="both"/>
              <w:rPr>
                <w:color w:val="000000" w:themeColor="text1"/>
              </w:rPr>
            </w:pPr>
            <w:r w:rsidRPr="00E560C7">
              <w:rPr>
                <w:color w:val="000000" w:themeColor="text1"/>
              </w:rPr>
              <w:t>372</w:t>
            </w:r>
          </w:p>
        </w:tc>
        <w:tc>
          <w:tcPr>
            <w:tcW w:w="1356" w:type="dxa"/>
            <w:noWrap/>
            <w:vAlign w:val="center"/>
            <w:hideMark/>
          </w:tcPr>
          <w:p w14:paraId="380C24F9" w14:textId="77777777" w:rsidR="00CE1F1D" w:rsidRPr="00E560C7" w:rsidRDefault="00CE1F1D" w:rsidP="00A17EE8">
            <w:pPr>
              <w:spacing w:line="264" w:lineRule="auto"/>
              <w:ind w:left="360"/>
              <w:jc w:val="both"/>
              <w:rPr>
                <w:color w:val="000000" w:themeColor="text1"/>
              </w:rPr>
            </w:pPr>
            <w:r w:rsidRPr="00E560C7">
              <w:rPr>
                <w:color w:val="000000" w:themeColor="text1"/>
              </w:rPr>
              <w:t>556</w:t>
            </w:r>
          </w:p>
        </w:tc>
        <w:tc>
          <w:tcPr>
            <w:tcW w:w="1374" w:type="dxa"/>
            <w:noWrap/>
            <w:vAlign w:val="center"/>
            <w:hideMark/>
          </w:tcPr>
          <w:p w14:paraId="44F338AD" w14:textId="77777777" w:rsidR="00CE1F1D" w:rsidRPr="00E560C7" w:rsidRDefault="00CE1F1D" w:rsidP="00A17EE8">
            <w:pPr>
              <w:spacing w:line="264" w:lineRule="auto"/>
              <w:ind w:left="360"/>
              <w:jc w:val="both"/>
              <w:rPr>
                <w:color w:val="000000" w:themeColor="text1"/>
              </w:rPr>
            </w:pPr>
            <w:r w:rsidRPr="00E560C7">
              <w:rPr>
                <w:color w:val="000000" w:themeColor="text1"/>
              </w:rPr>
              <w:t>1225</w:t>
            </w:r>
          </w:p>
        </w:tc>
      </w:tr>
      <w:tr w:rsidR="00CE1F1D" w:rsidRPr="00E560C7" w14:paraId="66861468" w14:textId="77777777" w:rsidTr="00A17EE8">
        <w:trPr>
          <w:trHeight w:val="300"/>
        </w:trPr>
        <w:tc>
          <w:tcPr>
            <w:tcW w:w="2830" w:type="dxa"/>
            <w:noWrap/>
            <w:vAlign w:val="center"/>
            <w:hideMark/>
          </w:tcPr>
          <w:p w14:paraId="35E18CBF" w14:textId="77777777" w:rsidR="00CE1F1D" w:rsidRPr="00E560C7" w:rsidRDefault="00CE1F1D" w:rsidP="00A17EE8">
            <w:pPr>
              <w:spacing w:line="264" w:lineRule="auto"/>
              <w:ind w:left="360"/>
              <w:jc w:val="both"/>
              <w:rPr>
                <w:color w:val="000000" w:themeColor="text1"/>
              </w:rPr>
            </w:pPr>
            <w:r w:rsidRPr="00E560C7">
              <w:rPr>
                <w:color w:val="000000" w:themeColor="text1"/>
              </w:rPr>
              <w:t>West Midlands</w:t>
            </w:r>
          </w:p>
        </w:tc>
        <w:tc>
          <w:tcPr>
            <w:tcW w:w="1466" w:type="dxa"/>
            <w:noWrap/>
            <w:vAlign w:val="center"/>
            <w:hideMark/>
          </w:tcPr>
          <w:p w14:paraId="28E153E1"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675BA611" w14:textId="77777777" w:rsidR="00CE1F1D" w:rsidRPr="00E560C7" w:rsidRDefault="00CE1F1D" w:rsidP="00A17EE8">
            <w:pPr>
              <w:spacing w:line="264" w:lineRule="auto"/>
              <w:ind w:left="360"/>
              <w:jc w:val="both"/>
              <w:rPr>
                <w:color w:val="000000" w:themeColor="text1"/>
              </w:rPr>
            </w:pPr>
            <w:r w:rsidRPr="00E560C7">
              <w:rPr>
                <w:color w:val="000000" w:themeColor="text1"/>
              </w:rPr>
              <w:t>463</w:t>
            </w:r>
          </w:p>
        </w:tc>
        <w:tc>
          <w:tcPr>
            <w:tcW w:w="1356" w:type="dxa"/>
            <w:noWrap/>
            <w:vAlign w:val="center"/>
            <w:hideMark/>
          </w:tcPr>
          <w:p w14:paraId="41FED762" w14:textId="77777777" w:rsidR="00CE1F1D" w:rsidRPr="00E560C7" w:rsidRDefault="00CE1F1D" w:rsidP="00A17EE8">
            <w:pPr>
              <w:spacing w:line="264" w:lineRule="auto"/>
              <w:ind w:left="360"/>
              <w:jc w:val="both"/>
              <w:rPr>
                <w:color w:val="000000" w:themeColor="text1"/>
              </w:rPr>
            </w:pPr>
            <w:r w:rsidRPr="00E560C7">
              <w:rPr>
                <w:color w:val="000000" w:themeColor="text1"/>
              </w:rPr>
              <w:t>781</w:t>
            </w:r>
          </w:p>
        </w:tc>
        <w:tc>
          <w:tcPr>
            <w:tcW w:w="1374" w:type="dxa"/>
            <w:noWrap/>
            <w:vAlign w:val="center"/>
            <w:hideMark/>
          </w:tcPr>
          <w:p w14:paraId="68999215" w14:textId="77777777" w:rsidR="00CE1F1D" w:rsidRPr="00E560C7" w:rsidRDefault="00CE1F1D" w:rsidP="00A17EE8">
            <w:pPr>
              <w:spacing w:line="264" w:lineRule="auto"/>
              <w:ind w:left="360"/>
              <w:jc w:val="both"/>
              <w:rPr>
                <w:color w:val="000000" w:themeColor="text1"/>
              </w:rPr>
            </w:pPr>
            <w:r w:rsidRPr="00E560C7">
              <w:rPr>
                <w:color w:val="000000" w:themeColor="text1"/>
              </w:rPr>
              <w:t>2125</w:t>
            </w:r>
          </w:p>
        </w:tc>
      </w:tr>
      <w:tr w:rsidR="00CE1F1D" w:rsidRPr="00E560C7" w14:paraId="53C90B84" w14:textId="77777777" w:rsidTr="00A17EE8">
        <w:trPr>
          <w:trHeight w:val="300"/>
        </w:trPr>
        <w:tc>
          <w:tcPr>
            <w:tcW w:w="2830" w:type="dxa"/>
            <w:noWrap/>
            <w:vAlign w:val="center"/>
            <w:hideMark/>
          </w:tcPr>
          <w:p w14:paraId="40C9BF62" w14:textId="77777777" w:rsidR="00CE1F1D" w:rsidRPr="00E560C7" w:rsidRDefault="00CE1F1D" w:rsidP="00A17EE8">
            <w:pPr>
              <w:spacing w:line="264" w:lineRule="auto"/>
              <w:ind w:left="360"/>
              <w:jc w:val="both"/>
              <w:rPr>
                <w:color w:val="000000" w:themeColor="text1"/>
              </w:rPr>
            </w:pPr>
            <w:r w:rsidRPr="00E560C7">
              <w:rPr>
                <w:color w:val="000000" w:themeColor="text1"/>
              </w:rPr>
              <w:t>Yorkshire &amp; Humberside</w:t>
            </w:r>
          </w:p>
        </w:tc>
        <w:tc>
          <w:tcPr>
            <w:tcW w:w="1466" w:type="dxa"/>
            <w:noWrap/>
            <w:vAlign w:val="center"/>
            <w:hideMark/>
          </w:tcPr>
          <w:p w14:paraId="16BFF822" w14:textId="77777777" w:rsidR="00CE1F1D" w:rsidRPr="00E560C7" w:rsidRDefault="00CE1F1D" w:rsidP="00A17EE8">
            <w:pPr>
              <w:spacing w:line="264" w:lineRule="auto"/>
              <w:ind w:left="360"/>
              <w:jc w:val="both"/>
              <w:rPr>
                <w:color w:val="000000" w:themeColor="text1"/>
              </w:rPr>
            </w:pPr>
            <w:r w:rsidRPr="00E560C7">
              <w:rPr>
                <w:color w:val="000000" w:themeColor="text1"/>
              </w:rPr>
              <w:t>250</w:t>
            </w:r>
          </w:p>
        </w:tc>
        <w:tc>
          <w:tcPr>
            <w:tcW w:w="1616" w:type="dxa"/>
            <w:noWrap/>
            <w:vAlign w:val="center"/>
            <w:hideMark/>
          </w:tcPr>
          <w:p w14:paraId="5D9EE88C" w14:textId="77777777" w:rsidR="00CE1F1D" w:rsidRPr="00E560C7" w:rsidRDefault="00CE1F1D" w:rsidP="00A17EE8">
            <w:pPr>
              <w:spacing w:line="264" w:lineRule="auto"/>
              <w:ind w:left="360"/>
              <w:jc w:val="both"/>
              <w:rPr>
                <w:color w:val="000000" w:themeColor="text1"/>
              </w:rPr>
            </w:pPr>
            <w:r w:rsidRPr="00E560C7">
              <w:rPr>
                <w:color w:val="000000" w:themeColor="text1"/>
              </w:rPr>
              <w:t>485</w:t>
            </w:r>
          </w:p>
        </w:tc>
        <w:tc>
          <w:tcPr>
            <w:tcW w:w="1356" w:type="dxa"/>
            <w:noWrap/>
            <w:vAlign w:val="center"/>
            <w:hideMark/>
          </w:tcPr>
          <w:p w14:paraId="344C258A" w14:textId="77777777" w:rsidR="00CE1F1D" w:rsidRPr="00E560C7" w:rsidRDefault="00CE1F1D" w:rsidP="00A17EE8">
            <w:pPr>
              <w:spacing w:line="264" w:lineRule="auto"/>
              <w:ind w:left="360"/>
              <w:jc w:val="both"/>
              <w:rPr>
                <w:color w:val="000000" w:themeColor="text1"/>
              </w:rPr>
            </w:pPr>
            <w:r w:rsidRPr="00E560C7">
              <w:rPr>
                <w:color w:val="000000" w:themeColor="text1"/>
              </w:rPr>
              <w:t>838</w:t>
            </w:r>
          </w:p>
        </w:tc>
        <w:tc>
          <w:tcPr>
            <w:tcW w:w="1374" w:type="dxa"/>
            <w:noWrap/>
            <w:vAlign w:val="center"/>
            <w:hideMark/>
          </w:tcPr>
          <w:p w14:paraId="68490170" w14:textId="77777777" w:rsidR="00CE1F1D" w:rsidRPr="00E560C7" w:rsidRDefault="00CE1F1D" w:rsidP="00A17EE8">
            <w:pPr>
              <w:spacing w:line="264" w:lineRule="auto"/>
              <w:ind w:left="360"/>
              <w:jc w:val="both"/>
              <w:rPr>
                <w:color w:val="000000" w:themeColor="text1"/>
              </w:rPr>
            </w:pPr>
            <w:r w:rsidRPr="00E560C7">
              <w:rPr>
                <w:color w:val="000000" w:themeColor="text1"/>
              </w:rPr>
              <w:t>2351</w:t>
            </w:r>
          </w:p>
        </w:tc>
      </w:tr>
      <w:tr w:rsidR="00CE1F1D" w:rsidRPr="00E560C7" w14:paraId="6C2CD09B" w14:textId="77777777" w:rsidTr="00A17EE8">
        <w:trPr>
          <w:trHeight w:val="300"/>
        </w:trPr>
        <w:tc>
          <w:tcPr>
            <w:tcW w:w="2830" w:type="dxa"/>
            <w:noWrap/>
            <w:vAlign w:val="center"/>
            <w:hideMark/>
          </w:tcPr>
          <w:p w14:paraId="62CB9B05" w14:textId="77777777" w:rsidR="00CE1F1D" w:rsidRPr="00E560C7" w:rsidRDefault="00CE1F1D" w:rsidP="00A17EE8">
            <w:pPr>
              <w:spacing w:line="264" w:lineRule="auto"/>
              <w:ind w:left="360"/>
              <w:jc w:val="both"/>
              <w:rPr>
                <w:color w:val="000000" w:themeColor="text1"/>
              </w:rPr>
            </w:pPr>
            <w:r w:rsidRPr="00E560C7">
              <w:rPr>
                <w:color w:val="000000" w:themeColor="text1"/>
              </w:rPr>
              <w:t xml:space="preserve">Total </w:t>
            </w:r>
            <w:r>
              <w:rPr>
                <w:color w:val="000000" w:themeColor="text1"/>
              </w:rPr>
              <w:t>in £1000s</w:t>
            </w:r>
          </w:p>
        </w:tc>
        <w:tc>
          <w:tcPr>
            <w:tcW w:w="1466" w:type="dxa"/>
            <w:noWrap/>
            <w:vAlign w:val="center"/>
            <w:hideMark/>
          </w:tcPr>
          <w:p w14:paraId="38070760" w14:textId="77777777" w:rsidR="00CE1F1D" w:rsidRPr="00E560C7" w:rsidRDefault="00CE1F1D" w:rsidP="00A17EE8">
            <w:pPr>
              <w:spacing w:line="264" w:lineRule="auto"/>
              <w:ind w:left="360"/>
              <w:jc w:val="both"/>
              <w:rPr>
                <w:color w:val="000000" w:themeColor="text1"/>
              </w:rPr>
            </w:pPr>
            <w:r w:rsidRPr="00E560C7">
              <w:rPr>
                <w:color w:val="000000" w:themeColor="text1"/>
              </w:rPr>
              <w:t>3000</w:t>
            </w:r>
          </w:p>
        </w:tc>
        <w:tc>
          <w:tcPr>
            <w:tcW w:w="1616" w:type="dxa"/>
            <w:noWrap/>
            <w:vAlign w:val="center"/>
            <w:hideMark/>
          </w:tcPr>
          <w:p w14:paraId="00B2D1AF" w14:textId="77777777" w:rsidR="00CE1F1D" w:rsidRPr="00E560C7" w:rsidRDefault="00CE1F1D" w:rsidP="00A17EE8">
            <w:pPr>
              <w:spacing w:line="264" w:lineRule="auto"/>
              <w:ind w:left="360"/>
              <w:jc w:val="both"/>
              <w:rPr>
                <w:color w:val="000000" w:themeColor="text1"/>
              </w:rPr>
            </w:pPr>
            <w:r w:rsidRPr="00E560C7">
              <w:rPr>
                <w:color w:val="000000" w:themeColor="text1"/>
              </w:rPr>
              <w:t>5000</w:t>
            </w:r>
          </w:p>
        </w:tc>
        <w:tc>
          <w:tcPr>
            <w:tcW w:w="1356" w:type="dxa"/>
            <w:noWrap/>
            <w:vAlign w:val="center"/>
            <w:hideMark/>
          </w:tcPr>
          <w:p w14:paraId="6722D7F3" w14:textId="77777777" w:rsidR="00CE1F1D" w:rsidRPr="00E560C7" w:rsidRDefault="00CE1F1D" w:rsidP="00A17EE8">
            <w:pPr>
              <w:spacing w:line="264" w:lineRule="auto"/>
              <w:ind w:left="360"/>
              <w:jc w:val="both"/>
              <w:rPr>
                <w:color w:val="000000" w:themeColor="text1"/>
              </w:rPr>
            </w:pPr>
            <w:r w:rsidRPr="00E560C7">
              <w:rPr>
                <w:color w:val="000000" w:themeColor="text1"/>
              </w:rPr>
              <w:t>8000</w:t>
            </w:r>
          </w:p>
        </w:tc>
        <w:tc>
          <w:tcPr>
            <w:tcW w:w="1374" w:type="dxa"/>
            <w:noWrap/>
            <w:vAlign w:val="center"/>
            <w:hideMark/>
          </w:tcPr>
          <w:p w14:paraId="3EC37A04" w14:textId="77777777" w:rsidR="00CE1F1D" w:rsidRPr="00E560C7" w:rsidRDefault="00CE1F1D" w:rsidP="00A17EE8">
            <w:pPr>
              <w:spacing w:line="264" w:lineRule="auto"/>
              <w:ind w:left="360"/>
              <w:jc w:val="both"/>
              <w:rPr>
                <w:color w:val="000000" w:themeColor="text1"/>
              </w:rPr>
            </w:pPr>
            <w:r w:rsidRPr="00E560C7">
              <w:rPr>
                <w:color w:val="000000" w:themeColor="text1"/>
              </w:rPr>
              <w:t>20000</w:t>
            </w:r>
          </w:p>
        </w:tc>
      </w:tr>
    </w:tbl>
    <w:p w14:paraId="28108DB8" w14:textId="77777777" w:rsidR="00E72D8E" w:rsidRDefault="00E72D8E" w:rsidP="00360B2E">
      <w:pPr>
        <w:rPr>
          <w:rFonts w:ascii="Arial" w:hAnsi="Arial" w:cs="Arial"/>
          <w:b/>
          <w:color w:val="7030A0"/>
        </w:rPr>
      </w:pPr>
    </w:p>
    <w:sectPr w:rsidR="00E72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158091C"/>
    <w:lvl w:ilvl="0">
      <w:start w:val="1"/>
      <w:numFmt w:val="decimal"/>
      <w:pStyle w:val="ListNumber2"/>
      <w:lvlText w:val="%1."/>
      <w:lvlJc w:val="left"/>
      <w:pPr>
        <w:tabs>
          <w:tab w:val="num" w:pos="643"/>
        </w:tabs>
        <w:ind w:left="643" w:hanging="360"/>
      </w:pPr>
    </w:lvl>
  </w:abstractNum>
  <w:abstractNum w:abstractNumId="1" w15:restartNumberingAfterBreak="0">
    <w:nsid w:val="790C0EF8"/>
    <w:multiLevelType w:val="hybridMultilevel"/>
    <w:tmpl w:val="FDB2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3A"/>
    <w:rsid w:val="000672BF"/>
    <w:rsid w:val="000A05E3"/>
    <w:rsid w:val="000C113A"/>
    <w:rsid w:val="000D1A75"/>
    <w:rsid w:val="0010727C"/>
    <w:rsid w:val="001865C3"/>
    <w:rsid w:val="001F5CF7"/>
    <w:rsid w:val="00221D00"/>
    <w:rsid w:val="00223873"/>
    <w:rsid w:val="0029483E"/>
    <w:rsid w:val="002F505C"/>
    <w:rsid w:val="00302108"/>
    <w:rsid w:val="00306F6C"/>
    <w:rsid w:val="00327C35"/>
    <w:rsid w:val="00360B2E"/>
    <w:rsid w:val="0037324D"/>
    <w:rsid w:val="00381B81"/>
    <w:rsid w:val="003B0D61"/>
    <w:rsid w:val="00440A37"/>
    <w:rsid w:val="00466354"/>
    <w:rsid w:val="004F15A2"/>
    <w:rsid w:val="00535AA4"/>
    <w:rsid w:val="00592751"/>
    <w:rsid w:val="005A566F"/>
    <w:rsid w:val="005D0547"/>
    <w:rsid w:val="006462E1"/>
    <w:rsid w:val="00651767"/>
    <w:rsid w:val="00662369"/>
    <w:rsid w:val="00676D3B"/>
    <w:rsid w:val="008422B5"/>
    <w:rsid w:val="00846F21"/>
    <w:rsid w:val="00872CF2"/>
    <w:rsid w:val="00917BEE"/>
    <w:rsid w:val="00957276"/>
    <w:rsid w:val="009577CB"/>
    <w:rsid w:val="009D4F03"/>
    <w:rsid w:val="009F65AD"/>
    <w:rsid w:val="00AB6A44"/>
    <w:rsid w:val="00AD64CE"/>
    <w:rsid w:val="00B00FAC"/>
    <w:rsid w:val="00B71B9D"/>
    <w:rsid w:val="00BA3051"/>
    <w:rsid w:val="00C07879"/>
    <w:rsid w:val="00C44106"/>
    <w:rsid w:val="00CD0D80"/>
    <w:rsid w:val="00CE1F1D"/>
    <w:rsid w:val="00D25415"/>
    <w:rsid w:val="00D37015"/>
    <w:rsid w:val="00DB6D6A"/>
    <w:rsid w:val="00DC3D3B"/>
    <w:rsid w:val="00E15651"/>
    <w:rsid w:val="00E413AC"/>
    <w:rsid w:val="00E6212C"/>
    <w:rsid w:val="00E72D8E"/>
    <w:rsid w:val="00E92E1D"/>
    <w:rsid w:val="00F027A9"/>
    <w:rsid w:val="00F03D1A"/>
    <w:rsid w:val="00F73666"/>
    <w:rsid w:val="00F8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2239"/>
  <w15:chartTrackingRefBased/>
  <w15:docId w15:val="{AD26C386-26A1-4307-B334-AEEF005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1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uiPriority w:val="99"/>
    <w:rsid w:val="000C113A"/>
    <w:pPr>
      <w:autoSpaceDE w:val="0"/>
      <w:autoSpaceDN w:val="0"/>
      <w:spacing w:line="241" w:lineRule="atLeast"/>
    </w:pPr>
    <w:rPr>
      <w:rFonts w:ascii="Helvetica Neue" w:hAnsi="Helvetica Neue"/>
      <w:sz w:val="24"/>
      <w:szCs w:val="24"/>
      <w:lang w:eastAsia="en-GB"/>
    </w:rPr>
  </w:style>
  <w:style w:type="paragraph" w:customStyle="1" w:styleId="Pa8">
    <w:name w:val="Pa8"/>
    <w:basedOn w:val="Normal"/>
    <w:uiPriority w:val="99"/>
    <w:rsid w:val="000C113A"/>
    <w:pPr>
      <w:autoSpaceDE w:val="0"/>
      <w:autoSpaceDN w:val="0"/>
      <w:spacing w:line="241" w:lineRule="atLeast"/>
    </w:pPr>
    <w:rPr>
      <w:rFonts w:ascii="Helvetica Neue" w:hAnsi="Helvetica Neue"/>
      <w:sz w:val="24"/>
      <w:szCs w:val="24"/>
      <w:lang w:eastAsia="en-GB"/>
    </w:rPr>
  </w:style>
  <w:style w:type="character" w:customStyle="1" w:styleId="A6">
    <w:name w:val="A6"/>
    <w:basedOn w:val="DefaultParagraphFont"/>
    <w:uiPriority w:val="99"/>
    <w:rsid w:val="000C113A"/>
    <w:rPr>
      <w:rFonts w:ascii="Helvetica Neue" w:hAnsi="Helvetica Neue" w:hint="default"/>
      <w:color w:val="000000"/>
    </w:rPr>
  </w:style>
  <w:style w:type="paragraph" w:styleId="ListParagraph">
    <w:name w:val="List Paragraph"/>
    <w:basedOn w:val="Normal"/>
    <w:uiPriority w:val="34"/>
    <w:qFormat/>
    <w:rsid w:val="00360B2E"/>
    <w:pPr>
      <w:ind w:left="720"/>
      <w:contextualSpacing/>
    </w:pPr>
  </w:style>
  <w:style w:type="character" w:styleId="Hyperlink">
    <w:name w:val="Hyperlink"/>
    <w:basedOn w:val="DefaultParagraphFont"/>
    <w:uiPriority w:val="99"/>
    <w:unhideWhenUsed/>
    <w:rsid w:val="00DB6D6A"/>
    <w:rPr>
      <w:color w:val="0563C1" w:themeColor="hyperlink"/>
      <w:u w:val="single"/>
    </w:rPr>
  </w:style>
  <w:style w:type="character" w:styleId="UnresolvedMention">
    <w:name w:val="Unresolved Mention"/>
    <w:basedOn w:val="DefaultParagraphFont"/>
    <w:uiPriority w:val="99"/>
    <w:semiHidden/>
    <w:unhideWhenUsed/>
    <w:rsid w:val="00DB6D6A"/>
    <w:rPr>
      <w:color w:val="605E5C"/>
      <w:shd w:val="clear" w:color="auto" w:fill="E1DFDD"/>
    </w:rPr>
  </w:style>
  <w:style w:type="character" w:styleId="FollowedHyperlink">
    <w:name w:val="FollowedHyperlink"/>
    <w:basedOn w:val="DefaultParagraphFont"/>
    <w:uiPriority w:val="99"/>
    <w:semiHidden/>
    <w:unhideWhenUsed/>
    <w:rsid w:val="00CE1F1D"/>
    <w:rPr>
      <w:color w:val="954F72" w:themeColor="followedHyperlink"/>
      <w:u w:val="single"/>
    </w:rPr>
  </w:style>
  <w:style w:type="table" w:styleId="TableGrid">
    <w:name w:val="Table Grid"/>
    <w:basedOn w:val="TableNormal"/>
    <w:uiPriority w:val="39"/>
    <w:rsid w:val="00CE1F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CE1F1D"/>
    <w:pPr>
      <w:numPr>
        <w:numId w:val="2"/>
      </w:numPr>
      <w:spacing w:line="280" w:lineRule="atLeast"/>
      <w:contextualSpacing/>
    </w:pPr>
    <w:rPr>
      <w:rFonts w:ascii="Arial" w:eastAsia="Times New Roman" w:hAnsi="Arial" w:cs="Times New Roman"/>
      <w:color w:val="000000"/>
      <w:sz w:val="20"/>
      <w:szCs w:val="20"/>
      <w:lang w:eastAsia="en-GB"/>
    </w:rPr>
  </w:style>
  <w:style w:type="paragraph" w:styleId="BalloonText">
    <w:name w:val="Balloon Text"/>
    <w:basedOn w:val="Normal"/>
    <w:link w:val="BalloonTextChar"/>
    <w:uiPriority w:val="99"/>
    <w:semiHidden/>
    <w:unhideWhenUsed/>
    <w:rsid w:val="00846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mppsintranet.org.uk/uploads/roif-background-example.ppt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mppsintranet.org.uk/uploads/roif-background-exampl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2C23878F82A4D929254BAE8592B6F" ma:contentTypeVersion="12" ma:contentTypeDescription="Create a new document." ma:contentTypeScope="" ma:versionID="17fac2f2df539a714b30ad9a823bf050">
  <xsd:schema xmlns:xsd="http://www.w3.org/2001/XMLSchema" xmlns:xs="http://www.w3.org/2001/XMLSchema" xmlns:p="http://schemas.microsoft.com/office/2006/metadata/properties" xmlns:ns3="2afc8c27-43a8-4e41-a74f-e04833c71bf0" xmlns:ns4="71354a7b-2b4f-4ff2-b6e4-59492e2ef5c9" targetNamespace="http://schemas.microsoft.com/office/2006/metadata/properties" ma:root="true" ma:fieldsID="faa64b946fa66bf235c5cdf153bb107a" ns3:_="" ns4:_="">
    <xsd:import namespace="2afc8c27-43a8-4e41-a74f-e04833c71bf0"/>
    <xsd:import namespace="71354a7b-2b4f-4ff2-b6e4-59492e2ef5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c8c27-43a8-4e41-a74f-e04833c7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54a7b-2b4f-4ff2-b6e4-59492e2ef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4E7A4-122D-4159-B301-9ADAA45F6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c8c27-43a8-4e41-a74f-e04833c71bf0"/>
    <ds:schemaRef ds:uri="71354a7b-2b4f-4ff2-b6e4-59492e2ef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6750A-9E6F-4E52-8FAC-EFDF6BA67E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BECD2-0D7D-4D50-8F0B-24099A748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Paddy</dc:creator>
  <cp:keywords/>
  <dc:description/>
  <cp:lastModifiedBy>Darby,  Paul</cp:lastModifiedBy>
  <cp:revision>18</cp:revision>
  <dcterms:created xsi:type="dcterms:W3CDTF">2021-04-21T08:29:00Z</dcterms:created>
  <dcterms:modified xsi:type="dcterms:W3CDTF">2021-05-11T10:57:00Z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0x010100F772C23878F82A4D929254BAE8592B6F</vt:lpwstr>
  </property>
</Properties>
</file>