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1ED2" w14:textId="77777777" w:rsidR="002102B7" w:rsidRDefault="009D6A6F" w:rsidP="00430CD1">
      <w:pPr>
        <w:pStyle w:val="Title"/>
      </w:pPr>
      <w:r>
        <w:rPr>
          <w:noProof/>
        </w:rPr>
        <w:drawing>
          <wp:anchor distT="0" distB="0" distL="114300" distR="114300" simplePos="0" relativeHeight="251659264" behindDoc="1" locked="0" layoutInCell="0" allowOverlap="1" wp14:anchorId="78586702" wp14:editId="629CA134">
            <wp:simplePos x="0" y="0"/>
            <wp:positionH relativeFrom="page">
              <wp:posOffset>723569</wp:posOffset>
            </wp:positionH>
            <wp:positionV relativeFrom="page">
              <wp:posOffset>540689</wp:posOffset>
            </wp:positionV>
            <wp:extent cx="1327868" cy="633095"/>
            <wp:effectExtent l="0" t="0" r="5715" b="0"/>
            <wp:wrapNone/>
            <wp:docPr id="1" name="Picture 1"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 Prison &amp; Probation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818" cy="634502"/>
                    </a:xfrm>
                    <a:prstGeom prst="rect">
                      <a:avLst/>
                    </a:prstGeom>
                    <a:noFill/>
                  </pic:spPr>
                </pic:pic>
              </a:graphicData>
            </a:graphic>
            <wp14:sizeRelH relativeFrom="page">
              <wp14:pctWidth>0</wp14:pctWidth>
            </wp14:sizeRelH>
            <wp14:sizeRelV relativeFrom="page">
              <wp14:pctHeight>0</wp14:pctHeight>
            </wp14:sizeRelV>
          </wp:anchor>
        </w:drawing>
      </w:r>
      <w:r w:rsidR="00430CD1" w:rsidRPr="00430CD1">
        <w:tab/>
      </w:r>
      <w:r w:rsidR="00430CD1" w:rsidRPr="00430CD1">
        <w:tab/>
      </w:r>
      <w:r w:rsidR="00430CD1" w:rsidRPr="00430CD1">
        <w:tab/>
      </w:r>
    </w:p>
    <w:p w14:paraId="1A28D7C6" w14:textId="2031768F" w:rsidR="00430CD1" w:rsidRPr="00430CD1" w:rsidRDefault="00430CD1" w:rsidP="002102B7">
      <w:pPr>
        <w:pStyle w:val="Title"/>
        <w:ind w:left="2160" w:firstLine="720"/>
        <w:rPr>
          <w:u w:val="single"/>
        </w:rPr>
      </w:pPr>
      <w:r>
        <w:rPr>
          <w:u w:val="single"/>
        </w:rPr>
        <w:t>Mileage Buy-Out Appeals Form</w:t>
      </w:r>
    </w:p>
    <w:p w14:paraId="54C17717" w14:textId="77777777" w:rsidR="00430CD1" w:rsidRDefault="00430CD1" w:rsidP="00430CD1"/>
    <w:p w14:paraId="643B9D58" w14:textId="4EEE1BC3" w:rsidR="00BA6888" w:rsidRDefault="00BA6888" w:rsidP="00BA6888">
      <w:r>
        <w:t>Mileage buy-out compensation payments are paid to eligible staff who transferred from a CRC on 26</w:t>
      </w:r>
      <w:r w:rsidRPr="00430CD1">
        <w:rPr>
          <w:vertAlign w:val="superscript"/>
        </w:rPr>
        <w:t>th</w:t>
      </w:r>
      <w:r>
        <w:t xml:space="preserve"> June 2021 and are covered by the National Agreement. The buyouts available are as follows:</w:t>
      </w:r>
    </w:p>
    <w:p w14:paraId="5E101FEB" w14:textId="12BCF346" w:rsidR="00BA6888" w:rsidRPr="009A2CCD" w:rsidRDefault="00BA6888" w:rsidP="00BA6888">
      <w:pPr>
        <w:pStyle w:val="ListParagraph"/>
        <w:numPr>
          <w:ilvl w:val="0"/>
          <w:numId w:val="1"/>
        </w:numPr>
      </w:pPr>
      <w:r>
        <w:t xml:space="preserve">If, on transfer you </w:t>
      </w:r>
      <w:r w:rsidR="00A7262C">
        <w:t>we</w:t>
      </w:r>
      <w:r>
        <w:t xml:space="preserve">re in a post designated as attracting </w:t>
      </w:r>
      <w:r w:rsidRPr="00430CD1">
        <w:rPr>
          <w:b/>
          <w:bCs/>
        </w:rPr>
        <w:t>essential car user status</w:t>
      </w:r>
      <w:r>
        <w:t xml:space="preserve"> (with no end date) – you will receive a one-off compensation </w:t>
      </w:r>
      <w:r w:rsidRPr="009A2CCD">
        <w:t>payment of £1,000.</w:t>
      </w:r>
    </w:p>
    <w:p w14:paraId="2BA56A3E" w14:textId="05B0A0A4" w:rsidR="00BA6888" w:rsidRDefault="00BA6888" w:rsidP="00BA6888">
      <w:pPr>
        <w:pStyle w:val="ListParagraph"/>
        <w:numPr>
          <w:ilvl w:val="0"/>
          <w:numId w:val="1"/>
        </w:numPr>
      </w:pPr>
      <w:r>
        <w:t xml:space="preserve">If you </w:t>
      </w:r>
      <w:r w:rsidR="00A7262C">
        <w:t>we</w:t>
      </w:r>
      <w:r>
        <w:t xml:space="preserve">re eligible to claim mileage at the </w:t>
      </w:r>
      <w:r w:rsidRPr="00430CD1">
        <w:rPr>
          <w:b/>
          <w:bCs/>
        </w:rPr>
        <w:t>casual user rate of 65p per mile and ha</w:t>
      </w:r>
      <w:r w:rsidR="00A7262C">
        <w:rPr>
          <w:b/>
          <w:bCs/>
        </w:rPr>
        <w:t>d</w:t>
      </w:r>
      <w:r w:rsidRPr="00430CD1">
        <w:rPr>
          <w:b/>
          <w:bCs/>
        </w:rPr>
        <w:t xml:space="preserve"> claimed a minimum of 350 miles in the 12 months</w:t>
      </w:r>
      <w:r>
        <w:t xml:space="preserve"> </w:t>
      </w:r>
      <w:r w:rsidR="00A7262C" w:rsidRPr="00A7262C">
        <w:rPr>
          <w:b/>
          <w:bCs/>
        </w:rPr>
        <w:t>prior to transfer</w:t>
      </w:r>
      <w:r>
        <w:t xml:space="preserve">– you will receive a one-off compensation payment </w:t>
      </w:r>
      <w:r w:rsidRPr="009A2CCD">
        <w:t>of £410;</w:t>
      </w:r>
      <w:r>
        <w:t xml:space="preserve"> or,</w:t>
      </w:r>
    </w:p>
    <w:p w14:paraId="03E98745" w14:textId="68164C2F" w:rsidR="00BA6888" w:rsidRDefault="00BA6888" w:rsidP="00BA6888">
      <w:pPr>
        <w:pStyle w:val="ListParagraph"/>
        <w:numPr>
          <w:ilvl w:val="0"/>
          <w:numId w:val="1"/>
        </w:numPr>
      </w:pPr>
      <w:r>
        <w:t xml:space="preserve">If you </w:t>
      </w:r>
      <w:r w:rsidR="00A7262C">
        <w:t>were</w:t>
      </w:r>
      <w:r>
        <w:t xml:space="preserve"> eligible to claim mileage at the </w:t>
      </w:r>
      <w:r w:rsidRPr="00430CD1">
        <w:rPr>
          <w:b/>
          <w:bCs/>
        </w:rPr>
        <w:t>casual user rate of 52p per mile up to and including 64p per mile, and ha</w:t>
      </w:r>
      <w:r w:rsidR="00A7262C">
        <w:rPr>
          <w:b/>
          <w:bCs/>
        </w:rPr>
        <w:t>d</w:t>
      </w:r>
      <w:r w:rsidRPr="00430CD1">
        <w:rPr>
          <w:b/>
          <w:bCs/>
        </w:rPr>
        <w:t xml:space="preserve"> claimed a minimum of 350 miles in the 12 months</w:t>
      </w:r>
      <w:r>
        <w:t xml:space="preserve"> </w:t>
      </w:r>
      <w:r w:rsidR="00A7262C" w:rsidRPr="00A7262C">
        <w:rPr>
          <w:b/>
          <w:bCs/>
        </w:rPr>
        <w:t>prior to transfer</w:t>
      </w:r>
      <w:r w:rsidR="00A7262C">
        <w:rPr>
          <w:b/>
          <w:bCs/>
        </w:rPr>
        <w:t xml:space="preserve"> </w:t>
      </w:r>
      <w:r>
        <w:t xml:space="preserve">– you will receive a one-off compensation payment </w:t>
      </w:r>
      <w:r w:rsidRPr="009A2CCD">
        <w:t>of £150.</w:t>
      </w:r>
    </w:p>
    <w:p w14:paraId="1BA99798" w14:textId="78233F8E" w:rsidR="005E2030" w:rsidRDefault="005E2030" w:rsidP="005E2030">
      <w:r>
        <w:t>The following are the only grounds for appeal against a decision to not award a mileage buy-out</w:t>
      </w:r>
      <w:r w:rsidR="00604D15">
        <w:t xml:space="preserve"> compensation payment</w:t>
      </w:r>
      <w:r>
        <w:t>:</w:t>
      </w:r>
    </w:p>
    <w:p w14:paraId="52926AC6" w14:textId="77777777" w:rsidR="005E2030" w:rsidRDefault="005E2030" w:rsidP="005E2030">
      <w:pPr>
        <w:pStyle w:val="ListParagraph"/>
        <w:numPr>
          <w:ilvl w:val="0"/>
          <w:numId w:val="2"/>
        </w:numPr>
      </w:pPr>
      <w:r>
        <w:t>Factually incorrect information was used in the calculation of the buy-out</w:t>
      </w:r>
    </w:p>
    <w:p w14:paraId="5617043F" w14:textId="77777777" w:rsidR="005E2030" w:rsidRDefault="005E2030" w:rsidP="005E2030">
      <w:pPr>
        <w:pStyle w:val="ListParagraph"/>
        <w:numPr>
          <w:ilvl w:val="0"/>
          <w:numId w:val="2"/>
        </w:numPr>
      </w:pPr>
      <w:r>
        <w:t>Employee provides new information which would affect the buy-out</w:t>
      </w:r>
    </w:p>
    <w:p w14:paraId="4C0AC851" w14:textId="2A69A61C" w:rsidR="005E2030" w:rsidRDefault="005E2030" w:rsidP="005E2030">
      <w:pPr>
        <w:pStyle w:val="ListParagraph"/>
        <w:numPr>
          <w:ilvl w:val="0"/>
          <w:numId w:val="2"/>
        </w:numPr>
      </w:pPr>
      <w:r>
        <w:t>The employee was unable to achieve the 350 miles claimed in th</w:t>
      </w:r>
      <w:r w:rsidR="00AD0655">
        <w:t>e</w:t>
      </w:r>
      <w:r>
        <w:t xml:space="preserve"> 12 months</w:t>
      </w:r>
      <w:r w:rsidR="00AD0655">
        <w:t xml:space="preserve"> prior to transfer</w:t>
      </w:r>
      <w:r>
        <w:t xml:space="preserve"> threshold on account of </w:t>
      </w:r>
      <w:r w:rsidR="00AD0655">
        <w:t>COVID</w:t>
      </w:r>
      <w:r>
        <w:t>19 work/travel restrictions and / or long-term absence from the workplace</w:t>
      </w:r>
    </w:p>
    <w:p w14:paraId="76AFD14A" w14:textId="6D100B7B" w:rsidR="005E2030" w:rsidRDefault="005E2030" w:rsidP="005E2030">
      <w:pPr>
        <w:pStyle w:val="ListParagraph"/>
        <w:numPr>
          <w:ilvl w:val="0"/>
          <w:numId w:val="2"/>
        </w:numPr>
      </w:pPr>
      <w:r>
        <w:t>The employee can evidence that he/she was contractually entitled to an essential car user allowance if this is disputed</w:t>
      </w:r>
    </w:p>
    <w:p w14:paraId="1B955430" w14:textId="62392AF3" w:rsidR="00347F86" w:rsidRDefault="00347F86" w:rsidP="00347F86">
      <w:r>
        <w:t xml:space="preserve">Further details can be found on the Welcome Hub: </w:t>
      </w:r>
      <w:hyperlink r:id="rId9" w:anchor="toggle-id-2" w:history="1">
        <w:r w:rsidRPr="00A75C79">
          <w:rPr>
            <w:rStyle w:val="Hyperlink"/>
          </w:rPr>
          <w:t>https://welcome-hub.hmppsintranet.org.uk/what-you-need-to-know/the-transfer-explained/mileage-buyout/#toggle-id-2</w:t>
        </w:r>
      </w:hyperlink>
    </w:p>
    <w:p w14:paraId="5A133858" w14:textId="6F4C3B64" w:rsidR="004B48AB" w:rsidRDefault="00430CD1" w:rsidP="00430CD1">
      <w:r>
        <w:t>If you have not received a mileage buy-out compensation payment on 30</w:t>
      </w:r>
      <w:r w:rsidRPr="00430CD1">
        <w:rPr>
          <w:vertAlign w:val="superscript"/>
        </w:rPr>
        <w:t>th</w:t>
      </w:r>
      <w:r>
        <w:t xml:space="preserve"> July 2021 payroll and believe you are due a compensation payment, please complete th</w:t>
      </w:r>
      <w:r w:rsidR="003E3FC4">
        <w:t>is</w:t>
      </w:r>
      <w:r>
        <w:t xml:space="preserve"> form and sen</w:t>
      </w:r>
      <w:r w:rsidR="003E3FC4">
        <w:t>d</w:t>
      </w:r>
      <w:r>
        <w:t xml:space="preserve"> to</w:t>
      </w:r>
      <w:r w:rsidR="004D7449">
        <w:t xml:space="preserve"> </w:t>
      </w:r>
      <w:hyperlink r:id="rId10" w:history="1">
        <w:r w:rsidR="004D7449" w:rsidRPr="00BF314E">
          <w:rPr>
            <w:rStyle w:val="Hyperlink"/>
            <w:shd w:val="clear" w:color="auto" w:fill="FFFFFF"/>
          </w:rPr>
          <w:t>ProbationHQHR@justice.gov.uk</w:t>
        </w:r>
      </w:hyperlink>
      <w:r w:rsidR="004D7449">
        <w:rPr>
          <w:color w:val="000000"/>
          <w:shd w:val="clear" w:color="auto" w:fill="FFFFFF"/>
        </w:rPr>
        <w:t xml:space="preserve"> </w:t>
      </w:r>
      <w:r>
        <w:t xml:space="preserve">by </w:t>
      </w:r>
      <w:r w:rsidRPr="00430CD1">
        <w:rPr>
          <w:b/>
          <w:bCs/>
          <w:u w:val="single"/>
        </w:rPr>
        <w:t>20</w:t>
      </w:r>
      <w:r w:rsidRPr="00430CD1">
        <w:rPr>
          <w:b/>
          <w:bCs/>
          <w:u w:val="single"/>
          <w:vertAlign w:val="superscript"/>
        </w:rPr>
        <w:t>th</w:t>
      </w:r>
      <w:r w:rsidRPr="00430CD1">
        <w:rPr>
          <w:b/>
          <w:bCs/>
          <w:u w:val="single"/>
        </w:rPr>
        <w:t xml:space="preserve"> August 2021</w:t>
      </w:r>
      <w:r>
        <w:t xml:space="preserve"> alongside </w:t>
      </w:r>
      <w:r w:rsidR="00BA6888">
        <w:t>supporting evidence</w:t>
      </w:r>
      <w:r>
        <w:t>. No late returns will be processed.</w:t>
      </w:r>
    </w:p>
    <w:p w14:paraId="14582C45" w14:textId="1219BB35" w:rsidR="00BA6888" w:rsidRDefault="00BA6888" w:rsidP="00430CD1">
      <w:r w:rsidRPr="00BA6888">
        <w:t>Supporting evidence can include claim history, example claims highlighting the rate, travel plan, work schedule showing journeys with line manager endorsement,  P11D benefits in kind return, expenses report, CRC pay slips, contract of employment, formal statement by line manager endorsed by Head of LDU.</w:t>
      </w:r>
    </w:p>
    <w:tbl>
      <w:tblPr>
        <w:tblStyle w:val="TableGrid"/>
        <w:tblW w:w="0" w:type="auto"/>
        <w:tblLook w:val="04A0" w:firstRow="1" w:lastRow="0" w:firstColumn="1" w:lastColumn="0" w:noHBand="0" w:noVBand="1"/>
      </w:tblPr>
      <w:tblGrid>
        <w:gridCol w:w="2907"/>
        <w:gridCol w:w="7383"/>
      </w:tblGrid>
      <w:tr w:rsidR="00E03F66" w14:paraId="286C03F3" w14:textId="77777777" w:rsidTr="004D7449">
        <w:trPr>
          <w:trHeight w:val="277"/>
        </w:trPr>
        <w:tc>
          <w:tcPr>
            <w:tcW w:w="2907" w:type="dxa"/>
            <w:shd w:val="clear" w:color="auto" w:fill="CC99FF"/>
          </w:tcPr>
          <w:p w14:paraId="6759F157" w14:textId="5FA50C96" w:rsidR="00E03F66" w:rsidRPr="009D6A6F" w:rsidRDefault="00E03F66" w:rsidP="00430CD1">
            <w:pPr>
              <w:rPr>
                <w:b/>
                <w:bCs/>
              </w:rPr>
            </w:pPr>
            <w:r w:rsidRPr="009D6A6F">
              <w:rPr>
                <w:b/>
                <w:bCs/>
              </w:rPr>
              <w:t>Name:</w:t>
            </w:r>
          </w:p>
        </w:tc>
        <w:tc>
          <w:tcPr>
            <w:tcW w:w="7383" w:type="dxa"/>
            <w:shd w:val="clear" w:color="auto" w:fill="CCCCFF"/>
          </w:tcPr>
          <w:p w14:paraId="008C7B8A" w14:textId="77777777" w:rsidR="00E03F66" w:rsidRDefault="00E03F66" w:rsidP="00430CD1"/>
        </w:tc>
      </w:tr>
      <w:tr w:rsidR="00E03F66" w14:paraId="622FB87D" w14:textId="77777777" w:rsidTr="004D7449">
        <w:trPr>
          <w:trHeight w:val="262"/>
        </w:trPr>
        <w:tc>
          <w:tcPr>
            <w:tcW w:w="2907" w:type="dxa"/>
            <w:shd w:val="clear" w:color="auto" w:fill="CC99FF"/>
          </w:tcPr>
          <w:p w14:paraId="52E03833" w14:textId="36C675EC" w:rsidR="00E03F66" w:rsidRPr="009D6A6F" w:rsidRDefault="00B9676C" w:rsidP="00430CD1">
            <w:pPr>
              <w:rPr>
                <w:b/>
                <w:bCs/>
              </w:rPr>
            </w:pPr>
            <w:r>
              <w:rPr>
                <w:b/>
                <w:bCs/>
              </w:rPr>
              <w:t xml:space="preserve">NPS </w:t>
            </w:r>
            <w:r w:rsidR="00E03F66" w:rsidRPr="009D6A6F">
              <w:rPr>
                <w:b/>
                <w:bCs/>
              </w:rPr>
              <w:t>Employee Number:</w:t>
            </w:r>
          </w:p>
        </w:tc>
        <w:tc>
          <w:tcPr>
            <w:tcW w:w="7383" w:type="dxa"/>
            <w:shd w:val="clear" w:color="auto" w:fill="CCCCFF"/>
          </w:tcPr>
          <w:p w14:paraId="7ED8E756" w14:textId="77777777" w:rsidR="00E03F66" w:rsidRDefault="00E03F66" w:rsidP="00430CD1"/>
        </w:tc>
      </w:tr>
      <w:tr w:rsidR="00E03F66" w14:paraId="30905C33" w14:textId="77777777" w:rsidTr="004D7449">
        <w:trPr>
          <w:trHeight w:val="277"/>
        </w:trPr>
        <w:tc>
          <w:tcPr>
            <w:tcW w:w="2907" w:type="dxa"/>
            <w:shd w:val="clear" w:color="auto" w:fill="CC99FF"/>
          </w:tcPr>
          <w:p w14:paraId="5BC58320" w14:textId="1F0BD00F" w:rsidR="00E03F66" w:rsidRPr="009D6A6F" w:rsidRDefault="00753E62" w:rsidP="00430CD1">
            <w:pPr>
              <w:rPr>
                <w:b/>
                <w:bCs/>
              </w:rPr>
            </w:pPr>
            <w:r w:rsidRPr="009D6A6F">
              <w:rPr>
                <w:b/>
                <w:bCs/>
              </w:rPr>
              <w:t>Former CRC organisation:</w:t>
            </w:r>
          </w:p>
        </w:tc>
        <w:tc>
          <w:tcPr>
            <w:tcW w:w="7383" w:type="dxa"/>
            <w:shd w:val="clear" w:color="auto" w:fill="CCCCFF"/>
          </w:tcPr>
          <w:p w14:paraId="43445C29" w14:textId="485ACA0E" w:rsidR="00E03F66" w:rsidRDefault="00E03F66" w:rsidP="00430CD1">
            <w:bookmarkStart w:id="0" w:name="_GoBack"/>
            <w:bookmarkEnd w:id="0"/>
          </w:p>
        </w:tc>
      </w:tr>
      <w:tr w:rsidR="00753E62" w14:paraId="41A351FB" w14:textId="77777777" w:rsidTr="004D7449">
        <w:trPr>
          <w:trHeight w:val="1096"/>
        </w:trPr>
        <w:tc>
          <w:tcPr>
            <w:tcW w:w="2907" w:type="dxa"/>
            <w:shd w:val="clear" w:color="auto" w:fill="CC99FF"/>
          </w:tcPr>
          <w:p w14:paraId="0103B780" w14:textId="4E85A5A4" w:rsidR="00753E62" w:rsidRPr="009D6A6F" w:rsidRDefault="00093322" w:rsidP="00430CD1">
            <w:pPr>
              <w:rPr>
                <w:b/>
                <w:bCs/>
              </w:rPr>
            </w:pPr>
            <w:r w:rsidRPr="009D6A6F">
              <w:rPr>
                <w:b/>
                <w:bCs/>
              </w:rPr>
              <w:t>What are your grounds for appeal?</w:t>
            </w:r>
            <w:r w:rsidR="004E47FE">
              <w:rPr>
                <w:b/>
                <w:bCs/>
              </w:rPr>
              <w:t xml:space="preserve"> Please explain here why you are appealing.</w:t>
            </w:r>
          </w:p>
        </w:tc>
        <w:tc>
          <w:tcPr>
            <w:tcW w:w="7383" w:type="dxa"/>
            <w:shd w:val="clear" w:color="auto" w:fill="CCCCFF"/>
          </w:tcPr>
          <w:p w14:paraId="06A34BE5" w14:textId="77777777" w:rsidR="00753E62" w:rsidRDefault="00753E62" w:rsidP="00430CD1"/>
        </w:tc>
      </w:tr>
      <w:tr w:rsidR="00093322" w14:paraId="627D968F" w14:textId="77777777" w:rsidTr="004D7449">
        <w:trPr>
          <w:trHeight w:val="1096"/>
        </w:trPr>
        <w:tc>
          <w:tcPr>
            <w:tcW w:w="2907" w:type="dxa"/>
            <w:shd w:val="clear" w:color="auto" w:fill="CC99FF"/>
          </w:tcPr>
          <w:p w14:paraId="59EC9DE4" w14:textId="5061F09E" w:rsidR="00093322" w:rsidRPr="009D6A6F" w:rsidRDefault="00093322" w:rsidP="00430CD1">
            <w:pPr>
              <w:rPr>
                <w:b/>
                <w:bCs/>
              </w:rPr>
            </w:pPr>
            <w:r w:rsidRPr="009D6A6F">
              <w:rPr>
                <w:b/>
                <w:bCs/>
              </w:rPr>
              <w:t>Have you submitted evidence alongside this appeal form? If not, why not?</w:t>
            </w:r>
          </w:p>
        </w:tc>
        <w:tc>
          <w:tcPr>
            <w:tcW w:w="7383" w:type="dxa"/>
            <w:shd w:val="clear" w:color="auto" w:fill="CCCCFF"/>
          </w:tcPr>
          <w:p w14:paraId="657206D9" w14:textId="77777777" w:rsidR="00093322" w:rsidRDefault="00093322" w:rsidP="00430CD1"/>
        </w:tc>
      </w:tr>
      <w:tr w:rsidR="00093322" w14:paraId="7D57E526" w14:textId="77777777" w:rsidTr="004D7449">
        <w:trPr>
          <w:trHeight w:val="277"/>
        </w:trPr>
        <w:tc>
          <w:tcPr>
            <w:tcW w:w="2907" w:type="dxa"/>
            <w:shd w:val="clear" w:color="auto" w:fill="CC99FF"/>
          </w:tcPr>
          <w:p w14:paraId="17E41C48" w14:textId="5788B30C" w:rsidR="00093322" w:rsidRPr="009D6A6F" w:rsidRDefault="00093322" w:rsidP="00430CD1">
            <w:pPr>
              <w:rPr>
                <w:b/>
                <w:bCs/>
              </w:rPr>
            </w:pPr>
            <w:r w:rsidRPr="009D6A6F">
              <w:rPr>
                <w:b/>
                <w:bCs/>
              </w:rPr>
              <w:t>Signed:</w:t>
            </w:r>
          </w:p>
        </w:tc>
        <w:tc>
          <w:tcPr>
            <w:tcW w:w="7383" w:type="dxa"/>
            <w:shd w:val="clear" w:color="auto" w:fill="CCCCFF"/>
          </w:tcPr>
          <w:p w14:paraId="251DA537" w14:textId="77777777" w:rsidR="00093322" w:rsidRDefault="00093322" w:rsidP="00430CD1"/>
        </w:tc>
      </w:tr>
      <w:tr w:rsidR="00093322" w14:paraId="724F26C8" w14:textId="77777777" w:rsidTr="004D7449">
        <w:trPr>
          <w:trHeight w:val="262"/>
        </w:trPr>
        <w:tc>
          <w:tcPr>
            <w:tcW w:w="2907" w:type="dxa"/>
            <w:shd w:val="clear" w:color="auto" w:fill="CC99FF"/>
          </w:tcPr>
          <w:p w14:paraId="7E0E8BA3" w14:textId="666C87E9" w:rsidR="00093322" w:rsidRPr="009D6A6F" w:rsidRDefault="00093322" w:rsidP="00430CD1">
            <w:pPr>
              <w:rPr>
                <w:b/>
                <w:bCs/>
              </w:rPr>
            </w:pPr>
            <w:r w:rsidRPr="009D6A6F">
              <w:rPr>
                <w:b/>
                <w:bCs/>
              </w:rPr>
              <w:t>Date:</w:t>
            </w:r>
          </w:p>
        </w:tc>
        <w:tc>
          <w:tcPr>
            <w:tcW w:w="7383" w:type="dxa"/>
            <w:shd w:val="clear" w:color="auto" w:fill="CCCCFF"/>
          </w:tcPr>
          <w:p w14:paraId="0F0FF5A3" w14:textId="77777777" w:rsidR="00093322" w:rsidRDefault="00093322" w:rsidP="00430CD1"/>
        </w:tc>
      </w:tr>
    </w:tbl>
    <w:p w14:paraId="6D14D118" w14:textId="5E8C97DD" w:rsidR="00430CD1" w:rsidRDefault="00430CD1" w:rsidP="00430CD1"/>
    <w:p w14:paraId="52AAD36C" w14:textId="640288B7" w:rsidR="00A45B14" w:rsidRDefault="00A45B14" w:rsidP="00430CD1">
      <w:r>
        <w:t>If your appeal is successful you will receive your compensation payment in October 2021 payroll.</w:t>
      </w:r>
    </w:p>
    <w:p w14:paraId="24653C22" w14:textId="20969D11" w:rsidR="009D6A6F" w:rsidRPr="00430CD1" w:rsidRDefault="009D6A6F" w:rsidP="00430CD1">
      <w:r>
        <w:t xml:space="preserve">Please send this form with your supporting evidence to </w:t>
      </w:r>
      <w:hyperlink r:id="rId11" w:history="1">
        <w:r w:rsidR="004D7449">
          <w:rPr>
            <w:rStyle w:val="Hyperlink"/>
            <w:color w:val="000000"/>
            <w:shd w:val="clear" w:color="auto" w:fill="FFFFFF"/>
          </w:rPr>
          <w:t>ProbationHQHR@justice.gov.uk</w:t>
        </w:r>
      </w:hyperlink>
      <w:r w:rsidRPr="00BD12FA">
        <w:rPr>
          <w:color w:val="FF0000"/>
        </w:rPr>
        <w:t xml:space="preserve"> </w:t>
      </w:r>
      <w:r>
        <w:t xml:space="preserve">by </w:t>
      </w:r>
      <w:r w:rsidRPr="00430CD1">
        <w:rPr>
          <w:b/>
          <w:bCs/>
          <w:u w:val="single"/>
        </w:rPr>
        <w:t>20</w:t>
      </w:r>
      <w:r w:rsidRPr="00430CD1">
        <w:rPr>
          <w:b/>
          <w:bCs/>
          <w:u w:val="single"/>
          <w:vertAlign w:val="superscript"/>
        </w:rPr>
        <w:t>th</w:t>
      </w:r>
      <w:r w:rsidRPr="00430CD1">
        <w:rPr>
          <w:b/>
          <w:bCs/>
          <w:u w:val="single"/>
        </w:rPr>
        <w:t xml:space="preserve"> August 2021</w:t>
      </w:r>
      <w:r>
        <w:rPr>
          <w:b/>
          <w:bCs/>
          <w:u w:val="single"/>
        </w:rPr>
        <w:t>.</w:t>
      </w:r>
    </w:p>
    <w:sectPr w:rsidR="009D6A6F" w:rsidRPr="00430CD1" w:rsidSect="002102B7">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84B41" w16cex:dateUtc="2021-07-01T13:10:00Z"/>
  <w16cex:commentExtensible w16cex:durableId="24884C8D" w16cex:dateUtc="2021-07-01T13:1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44E3F"/>
    <w:multiLevelType w:val="hybridMultilevel"/>
    <w:tmpl w:val="2E2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52F14"/>
    <w:multiLevelType w:val="hybridMultilevel"/>
    <w:tmpl w:val="7976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D1"/>
    <w:rsid w:val="00093322"/>
    <w:rsid w:val="002102B7"/>
    <w:rsid w:val="00347F86"/>
    <w:rsid w:val="003E3FC4"/>
    <w:rsid w:val="00430CD1"/>
    <w:rsid w:val="004B48AB"/>
    <w:rsid w:val="004D7449"/>
    <w:rsid w:val="004E47FE"/>
    <w:rsid w:val="005E2030"/>
    <w:rsid w:val="00604D15"/>
    <w:rsid w:val="00753E62"/>
    <w:rsid w:val="009A2CCD"/>
    <w:rsid w:val="009D6A6F"/>
    <w:rsid w:val="00A45B14"/>
    <w:rsid w:val="00A7262C"/>
    <w:rsid w:val="00AD0655"/>
    <w:rsid w:val="00B9676C"/>
    <w:rsid w:val="00BA6888"/>
    <w:rsid w:val="00BD12FA"/>
    <w:rsid w:val="00E0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0038"/>
  <w15:chartTrackingRefBased/>
  <w15:docId w15:val="{B12B023A-47A7-4E31-9046-7B4FD993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0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CD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30CD1"/>
    <w:pPr>
      <w:ind w:left="720"/>
      <w:contextualSpacing/>
    </w:pPr>
  </w:style>
  <w:style w:type="character" w:styleId="CommentReference">
    <w:name w:val="annotation reference"/>
    <w:basedOn w:val="DefaultParagraphFont"/>
    <w:uiPriority w:val="99"/>
    <w:semiHidden/>
    <w:unhideWhenUsed/>
    <w:rsid w:val="00BD12FA"/>
    <w:rPr>
      <w:sz w:val="16"/>
      <w:szCs w:val="16"/>
    </w:rPr>
  </w:style>
  <w:style w:type="paragraph" w:styleId="CommentText">
    <w:name w:val="annotation text"/>
    <w:basedOn w:val="Normal"/>
    <w:link w:val="CommentTextChar"/>
    <w:uiPriority w:val="99"/>
    <w:semiHidden/>
    <w:unhideWhenUsed/>
    <w:rsid w:val="00BD12FA"/>
    <w:pPr>
      <w:spacing w:line="240" w:lineRule="auto"/>
    </w:pPr>
    <w:rPr>
      <w:sz w:val="20"/>
      <w:szCs w:val="20"/>
    </w:rPr>
  </w:style>
  <w:style w:type="character" w:customStyle="1" w:styleId="CommentTextChar">
    <w:name w:val="Comment Text Char"/>
    <w:basedOn w:val="DefaultParagraphFont"/>
    <w:link w:val="CommentText"/>
    <w:uiPriority w:val="99"/>
    <w:semiHidden/>
    <w:rsid w:val="00BD12FA"/>
    <w:rPr>
      <w:sz w:val="20"/>
      <w:szCs w:val="20"/>
    </w:rPr>
  </w:style>
  <w:style w:type="paragraph" w:styleId="CommentSubject">
    <w:name w:val="annotation subject"/>
    <w:basedOn w:val="CommentText"/>
    <w:next w:val="CommentText"/>
    <w:link w:val="CommentSubjectChar"/>
    <w:uiPriority w:val="99"/>
    <w:semiHidden/>
    <w:unhideWhenUsed/>
    <w:rsid w:val="00BD12FA"/>
    <w:rPr>
      <w:b/>
      <w:bCs/>
    </w:rPr>
  </w:style>
  <w:style w:type="character" w:customStyle="1" w:styleId="CommentSubjectChar">
    <w:name w:val="Comment Subject Char"/>
    <w:basedOn w:val="CommentTextChar"/>
    <w:link w:val="CommentSubject"/>
    <w:uiPriority w:val="99"/>
    <w:semiHidden/>
    <w:rsid w:val="00BD12FA"/>
    <w:rPr>
      <w:b/>
      <w:bCs/>
      <w:sz w:val="20"/>
      <w:szCs w:val="20"/>
    </w:rPr>
  </w:style>
  <w:style w:type="paragraph" w:styleId="BalloonText">
    <w:name w:val="Balloon Text"/>
    <w:basedOn w:val="Normal"/>
    <w:link w:val="BalloonTextChar"/>
    <w:uiPriority w:val="99"/>
    <w:semiHidden/>
    <w:unhideWhenUsed/>
    <w:rsid w:val="00BD1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2FA"/>
    <w:rPr>
      <w:rFonts w:ascii="Segoe UI" w:hAnsi="Segoe UI" w:cs="Segoe UI"/>
      <w:sz w:val="18"/>
      <w:szCs w:val="18"/>
    </w:rPr>
  </w:style>
  <w:style w:type="table" w:styleId="TableGrid">
    <w:name w:val="Table Grid"/>
    <w:basedOn w:val="TableNormal"/>
    <w:uiPriority w:val="39"/>
    <w:rsid w:val="00E03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7F86"/>
    <w:rPr>
      <w:color w:val="0563C1" w:themeColor="hyperlink"/>
      <w:u w:val="single"/>
    </w:rPr>
  </w:style>
  <w:style w:type="character" w:styleId="UnresolvedMention">
    <w:name w:val="Unresolved Mention"/>
    <w:basedOn w:val="DefaultParagraphFont"/>
    <w:uiPriority w:val="99"/>
    <w:semiHidden/>
    <w:unhideWhenUsed/>
    <w:rsid w:val="00347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bationHQHR@justice.gov.uk" TargetMode="External"/><Relationship Id="rId5" Type="http://schemas.openxmlformats.org/officeDocument/2006/relationships/styles" Target="styles.xml"/><Relationship Id="rId10" Type="http://schemas.openxmlformats.org/officeDocument/2006/relationships/hyperlink" Target="mailto:ProbationHQHR@justice.gov.uk" TargetMode="External"/><Relationship Id="rId4" Type="http://schemas.openxmlformats.org/officeDocument/2006/relationships/numbering" Target="numbering.xml"/><Relationship Id="rId9" Type="http://schemas.openxmlformats.org/officeDocument/2006/relationships/hyperlink" Target="https://welcome-hub.hmppsintranet.org.uk/what-you-need-to-know/the-transfer-explained/mileage-buyout/"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73F012E9AB94A90FBB8BDAF4C692A" ma:contentTypeVersion="13" ma:contentTypeDescription="Create a new document." ma:contentTypeScope="" ma:versionID="62b1f2a656d60c5a743aa278ad912ad9">
  <xsd:schema xmlns:xsd="http://www.w3.org/2001/XMLSchema" xmlns:xs="http://www.w3.org/2001/XMLSchema" xmlns:p="http://schemas.microsoft.com/office/2006/metadata/properties" xmlns:ns3="4b9a718a-0b3e-4de6-af87-37b8b2ce26ea" xmlns:ns4="5efcafe0-e19c-4ae9-8651-ebe637b9689d" targetNamespace="http://schemas.microsoft.com/office/2006/metadata/properties" ma:root="true" ma:fieldsID="99abbd3a5d3aaa60aecb368c26c2dcd8" ns3:_="" ns4:_="">
    <xsd:import namespace="4b9a718a-0b3e-4de6-af87-37b8b2ce26ea"/>
    <xsd:import namespace="5efcafe0-e19c-4ae9-8651-ebe637b968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a718a-0b3e-4de6-af87-37b8b2ce2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cafe0-e19c-4ae9-8651-ebe637b968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8A264-BE78-4829-816B-3A43AD5DA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a718a-0b3e-4de6-af87-37b8b2ce26ea"/>
    <ds:schemaRef ds:uri="5efcafe0-e19c-4ae9-8651-ebe637b96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6354C-6538-491E-9657-E759E1AC70CE}">
  <ds:schemaRefs>
    <ds:schemaRef ds:uri="http://schemas.microsoft.com/sharepoint/v3/contenttype/forms"/>
  </ds:schemaRefs>
</ds:datastoreItem>
</file>

<file path=customXml/itemProps3.xml><?xml version="1.0" encoding="utf-8"?>
<ds:datastoreItem xmlns:ds="http://schemas.openxmlformats.org/officeDocument/2006/customXml" ds:itemID="{5D595B51-48B2-4526-B972-5184FED4F8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2429</Characters>
  <Application>Microsoft Office Word</Application>
  <DocSecurity>4</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Melissa</dc:creator>
  <cp:keywords/>
  <dc:description/>
  <cp:lastModifiedBy>Siobhan O'Sullivan</cp:lastModifiedBy>
  <cp:revision>2</cp:revision>
  <dcterms:created xsi:type="dcterms:W3CDTF">2021-07-29T15:25:00Z</dcterms:created>
  <dcterms:modified xsi:type="dcterms:W3CDTF">2021-07-29T15:25:00Z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0x01010085E73F012E9AB94A90FBB8BDAF4C692A</vt:lpwstr>
  </property>
</Properties>
</file>