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894FA" w14:textId="39E83E09" w:rsidR="00A000F1" w:rsidRPr="00A000F1" w:rsidRDefault="00A000F1" w:rsidP="00623B65">
      <w:r>
        <w:t>OMiC Team v8</w:t>
      </w:r>
      <w:bookmarkStart w:id="0" w:name="_GoBack"/>
      <w:bookmarkEnd w:id="0"/>
    </w:p>
    <w:p w14:paraId="537E9A81" w14:textId="6D32F25C" w:rsidR="00623B65" w:rsidRPr="00326B3E" w:rsidRDefault="00623B65" w:rsidP="00623B65">
      <w:pPr>
        <w:rPr>
          <w:b/>
          <w:bCs/>
          <w:sz w:val="32"/>
          <w:szCs w:val="32"/>
        </w:rPr>
      </w:pPr>
      <w:r w:rsidRPr="00326B3E">
        <w:rPr>
          <w:b/>
          <w:bCs/>
          <w:sz w:val="32"/>
          <w:szCs w:val="32"/>
        </w:rPr>
        <w:t>OMiC Case Allocation – Quick Guide</w:t>
      </w:r>
    </w:p>
    <w:p w14:paraId="3AFA2A12" w14:textId="77777777" w:rsidR="00623B65" w:rsidRPr="007D6EDC" w:rsidRDefault="00623B65" w:rsidP="00623B65">
      <w:pPr>
        <w:rPr>
          <w:color w:val="FF0000"/>
          <w:sz w:val="20"/>
          <w:szCs w:val="20"/>
        </w:rPr>
      </w:pPr>
      <w:r w:rsidRPr="007D6EDC">
        <w:rPr>
          <w:color w:val="FF0000"/>
          <w:sz w:val="20"/>
          <w:szCs w:val="20"/>
        </w:rPr>
        <w:t xml:space="preserve">This guidance is relevant to England </w:t>
      </w:r>
      <w:r>
        <w:rPr>
          <w:color w:val="FF0000"/>
          <w:sz w:val="20"/>
          <w:szCs w:val="20"/>
        </w:rPr>
        <w:t>and Wales</w:t>
      </w:r>
    </w:p>
    <w:tbl>
      <w:tblPr>
        <w:tblStyle w:val="TableGrid"/>
        <w:tblW w:w="9336" w:type="dxa"/>
        <w:tblLook w:val="04A0" w:firstRow="1" w:lastRow="0" w:firstColumn="1" w:lastColumn="0" w:noHBand="0" w:noVBand="1"/>
      </w:tblPr>
      <w:tblGrid>
        <w:gridCol w:w="1079"/>
        <w:gridCol w:w="8257"/>
      </w:tblGrid>
      <w:tr w:rsidR="00623B65" w:rsidRPr="00326B3E" w14:paraId="76BA96C6" w14:textId="77777777" w:rsidTr="00C2773E">
        <w:trPr>
          <w:trHeight w:val="225"/>
        </w:trPr>
        <w:tc>
          <w:tcPr>
            <w:tcW w:w="1079" w:type="dxa"/>
          </w:tcPr>
          <w:p w14:paraId="2A2CBAE6" w14:textId="77777777" w:rsidR="00623B65" w:rsidRPr="00326B3E" w:rsidRDefault="00623B65" w:rsidP="00C2773E">
            <w:pPr>
              <w:rPr>
                <w:b/>
                <w:bCs/>
                <w:sz w:val="20"/>
                <w:szCs w:val="20"/>
              </w:rPr>
            </w:pPr>
            <w:r w:rsidRPr="00326B3E">
              <w:rPr>
                <w:b/>
                <w:bCs/>
                <w:sz w:val="20"/>
                <w:szCs w:val="20"/>
              </w:rPr>
              <w:t>Step 1</w:t>
            </w:r>
          </w:p>
        </w:tc>
        <w:tc>
          <w:tcPr>
            <w:tcW w:w="8257" w:type="dxa"/>
          </w:tcPr>
          <w:p w14:paraId="673BA876" w14:textId="29CEABAF" w:rsidR="00623B65" w:rsidRPr="00326B3E" w:rsidRDefault="00623B65" w:rsidP="00C2773E">
            <w:pPr>
              <w:rPr>
                <w:sz w:val="20"/>
                <w:szCs w:val="20"/>
              </w:rPr>
            </w:pPr>
            <w:r w:rsidRPr="00326B3E">
              <w:rPr>
                <w:sz w:val="20"/>
                <w:szCs w:val="20"/>
              </w:rPr>
              <w:t>Search for the individual (normal process)</w:t>
            </w:r>
          </w:p>
        </w:tc>
      </w:tr>
      <w:tr w:rsidR="00623B65" w:rsidRPr="00326B3E" w14:paraId="744CBE15" w14:textId="77777777" w:rsidTr="00C2773E">
        <w:trPr>
          <w:trHeight w:val="451"/>
        </w:trPr>
        <w:tc>
          <w:tcPr>
            <w:tcW w:w="1079" w:type="dxa"/>
          </w:tcPr>
          <w:p w14:paraId="6F3716F3" w14:textId="77777777" w:rsidR="00623B65" w:rsidRPr="00326B3E" w:rsidRDefault="00623B65" w:rsidP="00C2773E">
            <w:pPr>
              <w:rPr>
                <w:b/>
                <w:bCs/>
                <w:sz w:val="20"/>
                <w:szCs w:val="20"/>
              </w:rPr>
            </w:pPr>
            <w:r w:rsidRPr="00326B3E">
              <w:rPr>
                <w:b/>
                <w:bCs/>
                <w:sz w:val="20"/>
                <w:szCs w:val="20"/>
              </w:rPr>
              <w:t>Step 2</w:t>
            </w:r>
          </w:p>
        </w:tc>
        <w:tc>
          <w:tcPr>
            <w:tcW w:w="8257" w:type="dxa"/>
          </w:tcPr>
          <w:p w14:paraId="3536B782" w14:textId="789D3256" w:rsidR="00623B65" w:rsidRDefault="00623B65" w:rsidP="00C2773E">
            <w:pPr>
              <w:rPr>
                <w:sz w:val="20"/>
                <w:szCs w:val="20"/>
              </w:rPr>
            </w:pPr>
            <w:r w:rsidRPr="00326B3E">
              <w:rPr>
                <w:sz w:val="20"/>
                <w:szCs w:val="20"/>
              </w:rPr>
              <w:t>If the person is not known – complete offender details and add new event (normal process)</w:t>
            </w:r>
          </w:p>
          <w:p w14:paraId="0F2AB41F" w14:textId="77777777" w:rsidR="00623B65" w:rsidRPr="00326B3E" w:rsidRDefault="00623B65" w:rsidP="00C27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the person is known – check that the existing details remain accurate and update as necessary</w:t>
            </w:r>
          </w:p>
        </w:tc>
      </w:tr>
      <w:tr w:rsidR="00623B65" w:rsidRPr="00326B3E" w14:paraId="7D142486" w14:textId="77777777" w:rsidTr="00C2773E">
        <w:trPr>
          <w:trHeight w:val="451"/>
        </w:trPr>
        <w:tc>
          <w:tcPr>
            <w:tcW w:w="1079" w:type="dxa"/>
          </w:tcPr>
          <w:p w14:paraId="3F252E01" w14:textId="77777777" w:rsidR="00623B65" w:rsidRPr="00326B3E" w:rsidRDefault="00623B65" w:rsidP="00C277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Step 3</w:t>
            </w:r>
          </w:p>
        </w:tc>
        <w:tc>
          <w:tcPr>
            <w:tcW w:w="8257" w:type="dxa"/>
          </w:tcPr>
          <w:p w14:paraId="1062B84E" w14:textId="77777777" w:rsidR="00623B65" w:rsidRDefault="00623B65" w:rsidP="00C27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CAS screen on Delius will be </w:t>
            </w:r>
            <w:proofErr w:type="gramStart"/>
            <w:r>
              <w:rPr>
                <w:sz w:val="20"/>
                <w:szCs w:val="20"/>
              </w:rPr>
              <w:t>auto-populated</w:t>
            </w:r>
            <w:proofErr w:type="gramEnd"/>
            <w:r>
              <w:rPr>
                <w:sz w:val="20"/>
                <w:szCs w:val="20"/>
              </w:rPr>
              <w:t xml:space="preserve"> using information that has already been inputted into the system.</w:t>
            </w:r>
          </w:p>
          <w:p w14:paraId="364536F1" w14:textId="77777777" w:rsidR="00623B65" w:rsidRPr="00E26CB4" w:rsidRDefault="00623B65" w:rsidP="00623B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CAS will continue to show the case allocation as either ‘</w:t>
            </w:r>
            <w:r w:rsidRPr="003A2185">
              <w:rPr>
                <w:sz w:val="20"/>
                <w:szCs w:val="20"/>
              </w:rPr>
              <w:t>Retained/Enhanced</w:t>
            </w:r>
            <w:r>
              <w:rPr>
                <w:sz w:val="20"/>
                <w:szCs w:val="20"/>
              </w:rPr>
              <w:t xml:space="preserve"> Resourcing</w:t>
            </w:r>
            <w:r w:rsidRPr="003A2185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, denoting allocation based upon legacy NPS allocation criteria, or ‘Allocated/Normal Resourcing’, denoting allocation based upon legacy CRC allocation criteria.</w:t>
            </w:r>
          </w:p>
          <w:p w14:paraId="185994A5" w14:textId="77777777" w:rsidR="00623B65" w:rsidRPr="00441292" w:rsidRDefault="00623B65" w:rsidP="00623B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above terminology has been retained due to its interface with well-established OMiC processes.</w:t>
            </w:r>
          </w:p>
          <w:p w14:paraId="3FA8304B" w14:textId="77777777" w:rsidR="00623B65" w:rsidRPr="00E26CB4" w:rsidRDefault="00623B65" w:rsidP="00623B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recorded as being managed by a Wales PDU will all default to ‘</w:t>
            </w:r>
            <w:r w:rsidRPr="000A27B6">
              <w:rPr>
                <w:sz w:val="20"/>
                <w:szCs w:val="20"/>
              </w:rPr>
              <w:t>Retained/Enhanced</w:t>
            </w:r>
            <w:r>
              <w:rPr>
                <w:sz w:val="20"/>
                <w:szCs w:val="20"/>
              </w:rPr>
              <w:t xml:space="preserve"> Resourcing</w:t>
            </w:r>
            <w:r w:rsidRPr="000A27B6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, reflecting that Wales remains an early adopter of the resettlement model.</w:t>
            </w:r>
          </w:p>
          <w:p w14:paraId="3251897C" w14:textId="77777777" w:rsidR="00623B65" w:rsidRPr="002247BC" w:rsidRDefault="00623B65" w:rsidP="00623B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2247BC">
              <w:rPr>
                <w:sz w:val="20"/>
                <w:szCs w:val="20"/>
              </w:rPr>
              <w:t>The RSR and OSP scores must still be entered manually onto the CAS screen by the assessor.</w:t>
            </w:r>
          </w:p>
        </w:tc>
      </w:tr>
      <w:tr w:rsidR="00623B65" w:rsidRPr="00326B3E" w14:paraId="1728B96A" w14:textId="77777777" w:rsidTr="00C2773E">
        <w:trPr>
          <w:trHeight w:val="451"/>
        </w:trPr>
        <w:tc>
          <w:tcPr>
            <w:tcW w:w="1079" w:type="dxa"/>
          </w:tcPr>
          <w:p w14:paraId="08CA17A7" w14:textId="77777777" w:rsidR="00623B65" w:rsidRPr="00326B3E" w:rsidRDefault="00623B65" w:rsidP="00C277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Step 4</w:t>
            </w:r>
          </w:p>
        </w:tc>
        <w:tc>
          <w:tcPr>
            <w:tcW w:w="8257" w:type="dxa"/>
          </w:tcPr>
          <w:p w14:paraId="3CE6F1DA" w14:textId="3D4A6A31" w:rsidR="00623B65" w:rsidRPr="00623B65" w:rsidRDefault="00623B65" w:rsidP="00623B65">
            <w:pPr>
              <w:rPr>
                <w:b/>
                <w:bCs/>
                <w:sz w:val="20"/>
                <w:szCs w:val="20"/>
              </w:rPr>
            </w:pPr>
            <w:r w:rsidRPr="00531F2A">
              <w:rPr>
                <w:b/>
                <w:bCs/>
                <w:sz w:val="20"/>
                <w:szCs w:val="20"/>
              </w:rPr>
              <w:t xml:space="preserve">Case Allocation on Delius </w:t>
            </w:r>
          </w:p>
          <w:p w14:paraId="5959DA30" w14:textId="6AD8A8D9" w:rsidR="00623B65" w:rsidRPr="00531F2A" w:rsidRDefault="00623B65" w:rsidP="00623B65">
            <w:pPr>
              <w:rPr>
                <w:sz w:val="20"/>
                <w:szCs w:val="20"/>
              </w:rPr>
            </w:pPr>
            <w:r w:rsidRPr="00531F2A">
              <w:rPr>
                <w:sz w:val="20"/>
                <w:szCs w:val="20"/>
              </w:rPr>
              <w:t xml:space="preserve">Allocate to </w:t>
            </w:r>
            <w:r>
              <w:rPr>
                <w:sz w:val="20"/>
                <w:szCs w:val="20"/>
              </w:rPr>
              <w:t xml:space="preserve">the </w:t>
            </w:r>
            <w:r w:rsidRPr="00DD201D">
              <w:rPr>
                <w:b/>
                <w:bCs/>
                <w:sz w:val="20"/>
                <w:szCs w:val="20"/>
              </w:rPr>
              <w:t xml:space="preserve">PDU </w:t>
            </w:r>
            <w:r w:rsidRPr="00531F2A">
              <w:rPr>
                <w:b/>
                <w:bCs/>
                <w:sz w:val="20"/>
                <w:szCs w:val="20"/>
              </w:rPr>
              <w:t>OMIC record</w:t>
            </w:r>
            <w:r w:rsidRPr="00531F2A">
              <w:rPr>
                <w:sz w:val="20"/>
                <w:szCs w:val="20"/>
              </w:rPr>
              <w:t xml:space="preserve"> if the following applies:</w:t>
            </w:r>
          </w:p>
          <w:p w14:paraId="67143A6E" w14:textId="77777777" w:rsidR="00623B65" w:rsidRPr="00531F2A" w:rsidRDefault="00623B65" w:rsidP="00623B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 w:line="240" w:lineRule="auto"/>
              <w:rPr>
                <w:color w:val="000000"/>
                <w:sz w:val="20"/>
                <w:szCs w:val="20"/>
              </w:rPr>
            </w:pPr>
            <w:r w:rsidRPr="00531F2A">
              <w:rPr>
                <w:color w:val="000000"/>
                <w:sz w:val="20"/>
                <w:szCs w:val="20"/>
              </w:rPr>
              <w:t xml:space="preserve">Legacy NPS </w:t>
            </w:r>
            <w:r>
              <w:rPr>
                <w:color w:val="000000"/>
                <w:sz w:val="20"/>
                <w:szCs w:val="20"/>
              </w:rPr>
              <w:t xml:space="preserve">(Retained/Enhanced Resourcing) </w:t>
            </w:r>
            <w:r>
              <w:rPr>
                <w:color w:val="000000"/>
                <w:sz w:val="20"/>
                <w:szCs w:val="20"/>
                <w:u w:val="single"/>
              </w:rPr>
              <w:t>and</w:t>
            </w:r>
            <w:r w:rsidRPr="00531F2A">
              <w:rPr>
                <w:color w:val="000000"/>
                <w:sz w:val="20"/>
                <w:szCs w:val="20"/>
              </w:rPr>
              <w:t xml:space="preserve"> sentence</w:t>
            </w:r>
            <w:r>
              <w:rPr>
                <w:color w:val="000000"/>
                <w:sz w:val="20"/>
                <w:szCs w:val="20"/>
              </w:rPr>
              <w:t>d</w:t>
            </w:r>
            <w:r w:rsidRPr="00531F2A">
              <w:rPr>
                <w:color w:val="000000"/>
                <w:sz w:val="20"/>
                <w:szCs w:val="20"/>
              </w:rPr>
              <w:t xml:space="preserve"> to 20 months + custody</w:t>
            </w:r>
          </w:p>
          <w:p w14:paraId="0E127A63" w14:textId="77777777" w:rsidR="00623B65" w:rsidRDefault="00623B65" w:rsidP="00623B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31F2A">
              <w:rPr>
                <w:color w:val="000000"/>
                <w:sz w:val="20"/>
                <w:szCs w:val="20"/>
              </w:rPr>
              <w:t>Legacy CRC</w:t>
            </w:r>
            <w:r>
              <w:rPr>
                <w:color w:val="000000"/>
                <w:sz w:val="20"/>
                <w:szCs w:val="20"/>
              </w:rPr>
              <w:t xml:space="preserve"> (Allocated/Normal Resourcing)</w:t>
            </w:r>
            <w:r w:rsidRPr="00531F2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and</w:t>
            </w:r>
            <w:r w:rsidRPr="00531F2A">
              <w:rPr>
                <w:color w:val="000000"/>
                <w:sz w:val="20"/>
                <w:szCs w:val="20"/>
              </w:rPr>
              <w:t xml:space="preserve"> sentenced to 24 weeks + custody</w:t>
            </w:r>
          </w:p>
          <w:p w14:paraId="75EDD512" w14:textId="77777777" w:rsidR="00623B65" w:rsidRDefault="00623B65" w:rsidP="00623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09120B72" w14:textId="6A5A1C88" w:rsidR="00623B65" w:rsidRPr="00623B65" w:rsidRDefault="00623B65" w:rsidP="00623B65">
            <w:pPr>
              <w:jc w:val="both"/>
              <w:rPr>
                <w:sz w:val="20"/>
                <w:szCs w:val="20"/>
              </w:rPr>
            </w:pPr>
            <w:r w:rsidRPr="00326B3E">
              <w:rPr>
                <w:sz w:val="20"/>
                <w:szCs w:val="20"/>
              </w:rPr>
              <w:t>In terms of choosing the right OMIC team to allocate to, this should be the OMIC team which mirrors the live area the individual is resident in</w:t>
            </w:r>
            <w:r>
              <w:rPr>
                <w:sz w:val="20"/>
                <w:szCs w:val="20"/>
              </w:rPr>
              <w:t>,</w:t>
            </w:r>
            <w:r w:rsidRPr="00326B3E">
              <w:rPr>
                <w:sz w:val="20"/>
                <w:szCs w:val="20"/>
              </w:rPr>
              <w:t xml:space="preserve"> NOT the prison they have gone to. </w:t>
            </w:r>
            <w:r>
              <w:rPr>
                <w:sz w:val="20"/>
                <w:szCs w:val="20"/>
              </w:rPr>
              <w:t xml:space="preserve"> </w:t>
            </w:r>
            <w:r w:rsidRPr="00F43A0F">
              <w:rPr>
                <w:sz w:val="20"/>
                <w:szCs w:val="20"/>
              </w:rPr>
              <w:t xml:space="preserve">This will ensure that the case is linked to the correct community office for automatic handover without attracting workloads measurement points. </w:t>
            </w:r>
          </w:p>
          <w:p w14:paraId="144DD47B" w14:textId="77777777" w:rsidR="00623B65" w:rsidRDefault="00623B65" w:rsidP="00623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rPr>
                <w:color w:val="000000"/>
                <w:sz w:val="20"/>
                <w:szCs w:val="20"/>
              </w:rPr>
            </w:pPr>
            <w:r w:rsidRPr="00531F2A">
              <w:rPr>
                <w:color w:val="000000"/>
                <w:sz w:val="20"/>
                <w:szCs w:val="20"/>
              </w:rPr>
              <w:t xml:space="preserve">Allocate to </w:t>
            </w:r>
            <w:r w:rsidRPr="00531F2A">
              <w:rPr>
                <w:b/>
                <w:bCs/>
                <w:color w:val="000000"/>
                <w:sz w:val="20"/>
                <w:szCs w:val="20"/>
              </w:rPr>
              <w:t>PDU</w:t>
            </w:r>
            <w:r w:rsidRPr="00531F2A">
              <w:rPr>
                <w:color w:val="000000"/>
                <w:sz w:val="20"/>
                <w:szCs w:val="20"/>
              </w:rPr>
              <w:t xml:space="preserve"> where they reside </w:t>
            </w:r>
            <w:r>
              <w:rPr>
                <w:color w:val="000000"/>
                <w:sz w:val="20"/>
                <w:szCs w:val="20"/>
              </w:rPr>
              <w:t>if the following applies:</w:t>
            </w:r>
          </w:p>
          <w:p w14:paraId="08DD31C7" w14:textId="77777777" w:rsidR="00623B65" w:rsidRPr="00531F2A" w:rsidRDefault="00623B65" w:rsidP="00623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rPr>
                <w:color w:val="000000"/>
                <w:sz w:val="20"/>
                <w:szCs w:val="20"/>
              </w:rPr>
            </w:pPr>
          </w:p>
          <w:p w14:paraId="28CB5086" w14:textId="77777777" w:rsidR="00623B65" w:rsidRPr="00531F2A" w:rsidRDefault="00623B65" w:rsidP="00623B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 w:line="240" w:lineRule="auto"/>
              <w:rPr>
                <w:color w:val="000000"/>
                <w:sz w:val="20"/>
                <w:szCs w:val="20"/>
              </w:rPr>
            </w:pPr>
            <w:r w:rsidRPr="00531F2A">
              <w:rPr>
                <w:color w:val="000000"/>
                <w:sz w:val="20"/>
                <w:szCs w:val="20"/>
              </w:rPr>
              <w:t xml:space="preserve">Legacy NPS </w:t>
            </w:r>
            <w:r>
              <w:rPr>
                <w:color w:val="000000"/>
                <w:sz w:val="20"/>
                <w:szCs w:val="20"/>
              </w:rPr>
              <w:t xml:space="preserve">(Retained/Enhanced Resourcing) </w:t>
            </w:r>
            <w:r w:rsidRPr="00970B8E">
              <w:rPr>
                <w:color w:val="000000"/>
                <w:sz w:val="20"/>
                <w:szCs w:val="20"/>
                <w:u w:val="single"/>
              </w:rPr>
              <w:t>and</w:t>
            </w:r>
            <w:r w:rsidRPr="00531F2A">
              <w:rPr>
                <w:color w:val="000000"/>
                <w:sz w:val="20"/>
                <w:szCs w:val="20"/>
              </w:rPr>
              <w:t xml:space="preserve"> sentenced to under 20 months custody - these individuals will require immediate COM allocation. </w:t>
            </w:r>
          </w:p>
          <w:p w14:paraId="1ADCE51F" w14:textId="77777777" w:rsidR="00623B65" w:rsidRPr="00531F2A" w:rsidRDefault="00623B65" w:rsidP="00623B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531F2A">
              <w:rPr>
                <w:color w:val="000000"/>
                <w:sz w:val="20"/>
                <w:szCs w:val="20"/>
              </w:rPr>
              <w:t>Legacy CRC</w:t>
            </w:r>
            <w:r>
              <w:rPr>
                <w:color w:val="000000"/>
                <w:sz w:val="20"/>
                <w:szCs w:val="20"/>
              </w:rPr>
              <w:t xml:space="preserve"> (Allocated/Normal Resourcing)</w:t>
            </w:r>
            <w:r w:rsidRPr="00531F2A">
              <w:rPr>
                <w:color w:val="000000"/>
                <w:sz w:val="20"/>
                <w:szCs w:val="20"/>
              </w:rPr>
              <w:t xml:space="preserve"> </w:t>
            </w:r>
            <w:r w:rsidRPr="00970B8E">
              <w:rPr>
                <w:color w:val="000000"/>
                <w:sz w:val="20"/>
                <w:szCs w:val="20"/>
                <w:u w:val="single"/>
              </w:rPr>
              <w:t>and</w:t>
            </w:r>
            <w:r w:rsidRPr="00531F2A">
              <w:rPr>
                <w:color w:val="000000"/>
                <w:sz w:val="20"/>
                <w:szCs w:val="20"/>
              </w:rPr>
              <w:t xml:space="preserve"> sentenced to under 24 weeks custody - these individuals will require immediate COM allocation. </w:t>
            </w:r>
          </w:p>
          <w:p w14:paraId="274E91D5" w14:textId="77777777" w:rsidR="00623B65" w:rsidRPr="00531F2A" w:rsidRDefault="00623B65" w:rsidP="00623B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531F2A">
              <w:rPr>
                <w:color w:val="000000"/>
                <w:sz w:val="20"/>
                <w:szCs w:val="20"/>
              </w:rPr>
              <w:t>Recalled case (</w:t>
            </w:r>
            <w:r>
              <w:rPr>
                <w:color w:val="000000"/>
                <w:sz w:val="20"/>
                <w:szCs w:val="20"/>
              </w:rPr>
              <w:t>R</w:t>
            </w:r>
            <w:r w:rsidRPr="00531F2A">
              <w:rPr>
                <w:color w:val="000000"/>
                <w:sz w:val="20"/>
                <w:szCs w:val="20"/>
              </w:rPr>
              <w:t xml:space="preserve">ecalled on current sentence and appearing before the court on new matters and receives a concurrent sentence. These remain with the existing Community Offender Manager, as the COM needs to complete Part B/C reports for the Parole Board). </w:t>
            </w:r>
          </w:p>
          <w:p w14:paraId="071DA3FC" w14:textId="77777777" w:rsidR="00623B65" w:rsidRPr="00531F2A" w:rsidRDefault="00623B65" w:rsidP="00623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3B65" w:rsidRPr="00326B3E" w14:paraId="3E2EF08A" w14:textId="77777777" w:rsidTr="00C2773E">
        <w:trPr>
          <w:trHeight w:val="69"/>
        </w:trPr>
        <w:tc>
          <w:tcPr>
            <w:tcW w:w="1079" w:type="dxa"/>
          </w:tcPr>
          <w:p w14:paraId="105DDA32" w14:textId="77777777" w:rsidR="00623B65" w:rsidRPr="00326B3E" w:rsidRDefault="00623B65" w:rsidP="00C2773E">
            <w:pPr>
              <w:rPr>
                <w:b/>
                <w:bCs/>
                <w:sz w:val="20"/>
                <w:szCs w:val="20"/>
              </w:rPr>
            </w:pPr>
            <w:r w:rsidRPr="00326B3E">
              <w:rPr>
                <w:b/>
                <w:bCs/>
                <w:sz w:val="20"/>
                <w:szCs w:val="20"/>
              </w:rPr>
              <w:t xml:space="preserve">Step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57" w:type="dxa"/>
          </w:tcPr>
          <w:p w14:paraId="7B887CF6" w14:textId="77777777" w:rsidR="00623B65" w:rsidRPr="00326B3E" w:rsidRDefault="00623B65" w:rsidP="00C2773E">
            <w:pPr>
              <w:rPr>
                <w:sz w:val="20"/>
                <w:szCs w:val="20"/>
              </w:rPr>
            </w:pPr>
            <w:r w:rsidRPr="00326B3E">
              <w:rPr>
                <w:b/>
                <w:bCs/>
                <w:sz w:val="20"/>
                <w:szCs w:val="20"/>
              </w:rPr>
              <w:t>Allocation complete</w:t>
            </w:r>
          </w:p>
        </w:tc>
      </w:tr>
    </w:tbl>
    <w:p w14:paraId="4004C568" w14:textId="77777777" w:rsidR="00C91718" w:rsidRDefault="00C91718"/>
    <w:sectPr w:rsidR="00C91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744BB"/>
    <w:multiLevelType w:val="multilevel"/>
    <w:tmpl w:val="DD3ABF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355CF8"/>
    <w:multiLevelType w:val="multilevel"/>
    <w:tmpl w:val="A5D66B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1C456A3"/>
    <w:multiLevelType w:val="hybridMultilevel"/>
    <w:tmpl w:val="7D640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65"/>
    <w:rsid w:val="00623B65"/>
    <w:rsid w:val="00A000F1"/>
    <w:rsid w:val="00C9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F1345"/>
  <w15:chartTrackingRefBased/>
  <w15:docId w15:val="{F62A605D-F690-4D3E-B5C2-1062E417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B65"/>
    <w:pPr>
      <w:spacing w:after="240" w:line="264" w:lineRule="auto"/>
    </w:pPr>
    <w:rPr>
      <w:rFonts w:ascii="Arial" w:eastAsia="Arial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B65"/>
    <w:pPr>
      <w:ind w:left="720"/>
      <w:contextualSpacing/>
    </w:pPr>
  </w:style>
  <w:style w:type="table" w:styleId="TableGrid">
    <w:name w:val="Table Grid"/>
    <w:basedOn w:val="TableNormal"/>
    <w:uiPriority w:val="39"/>
    <w:rsid w:val="00623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B65"/>
    <w:rPr>
      <w:rFonts w:ascii="Segoe UI" w:eastAsia="Arial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2CF4CAE3E48741B32C665BE78099D4" ma:contentTypeVersion="12" ma:contentTypeDescription="Create a new document." ma:contentTypeScope="" ma:versionID="5aa5f97e3254d0fad34f42ca13201f46">
  <xsd:schema xmlns:xsd="http://www.w3.org/2001/XMLSchema" xmlns:xs="http://www.w3.org/2001/XMLSchema" xmlns:p="http://schemas.microsoft.com/office/2006/metadata/properties" xmlns:ns3="3e092faf-b768-4da9-bf5d-5e299737e0f6" xmlns:ns4="266315de-4a2f-44e2-83b0-1fadc7b958a3" targetNamespace="http://schemas.microsoft.com/office/2006/metadata/properties" ma:root="true" ma:fieldsID="7e8843bd861507d730e432e4e8e16db8" ns3:_="" ns4:_="">
    <xsd:import namespace="3e092faf-b768-4da9-bf5d-5e299737e0f6"/>
    <xsd:import namespace="266315de-4a2f-44e2-83b0-1fadc7b958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92faf-b768-4da9-bf5d-5e299737e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315de-4a2f-44e2-83b0-1fadc7b958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35CB26-F28F-4A6B-8122-1645E01D3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92faf-b768-4da9-bf5d-5e299737e0f6"/>
    <ds:schemaRef ds:uri="266315de-4a2f-44e2-83b0-1fadc7b95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2EFF44-0F88-4EF5-ADA0-FC668CC89A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5D9E9-910D-42E7-9C05-CCC47171AD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Callum, Gordon</dc:creator>
  <cp:keywords/>
  <dc:description/>
  <cp:lastModifiedBy>Callum, Gordon</cp:lastModifiedBy>
  <cp:revision>1</cp:revision>
  <dcterms:created xsi:type="dcterms:W3CDTF">2022-06-02T08:39:00Z</dcterms:created>
  <dcterms:modified xsi:type="dcterms:W3CDTF">2022-06-02T08:56:00Z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0x0101009A2CF4CAE3E48741B32C665BE78099D4</vt:lpwstr>
  </property>
</Properties>
</file>